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activeX/activeX1.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horzAnchor="margin" w:tblpXSpec="center" w:tblpYSpec="top"/>
        <w:tblOverlap w:val="never"/>
        <w:tblW w:w="0" w:type="auto"/>
        <w:tblLook w:val="01E0"/>
      </w:tblPr>
      <w:tblGrid>
        <w:gridCol w:w="8844"/>
      </w:tblGrid>
      <w:tr w:rsidR="00D01567" w:rsidRPr="00D45103" w:rsidTr="00553A24">
        <w:trPr>
          <w:trHeight w:hRule="exact" w:val="567"/>
        </w:trPr>
        <w:tc>
          <w:tcPr>
            <w:tcW w:w="8844" w:type="dxa"/>
            <w:tcMar>
              <w:left w:w="0" w:type="dxa"/>
              <w:right w:w="0" w:type="dxa"/>
            </w:tcMar>
          </w:tcPr>
          <w:p w:rsidR="00D01567" w:rsidRPr="00D45103" w:rsidRDefault="00D01567" w:rsidP="00D01567">
            <w:pPr>
              <w:pStyle w:val="a7"/>
              <w:spacing w:line="440" w:lineRule="exact"/>
              <w:ind w:rightChars="20" w:right="64"/>
              <w:jc w:val="both"/>
              <w:rPr>
                <w:rFonts w:ascii="黑体" w:eastAsia="黑体" w:cs="Times New Roman"/>
                <w:color w:val="000000"/>
              </w:rPr>
            </w:pPr>
          </w:p>
        </w:tc>
      </w:tr>
      <w:tr w:rsidR="00D01567" w:rsidRPr="00D45103" w:rsidTr="00553A24">
        <w:trPr>
          <w:trHeight w:hRule="exact" w:val="567"/>
        </w:trPr>
        <w:tc>
          <w:tcPr>
            <w:tcW w:w="8844" w:type="dxa"/>
            <w:tcMar>
              <w:left w:w="0" w:type="dxa"/>
              <w:right w:w="0" w:type="dxa"/>
            </w:tcMar>
          </w:tcPr>
          <w:p w:rsidR="00D01567" w:rsidRPr="00D45103" w:rsidRDefault="00D01567" w:rsidP="00D01567">
            <w:pPr>
              <w:pStyle w:val="a7"/>
              <w:spacing w:line="440" w:lineRule="exact"/>
              <w:ind w:rightChars="20" w:right="64"/>
              <w:jc w:val="both"/>
              <w:rPr>
                <w:rFonts w:ascii="黑体" w:eastAsia="黑体" w:cs="Times New Roman"/>
              </w:rPr>
            </w:pPr>
          </w:p>
        </w:tc>
      </w:tr>
      <w:tr w:rsidR="00D01567" w:rsidRPr="00D45103" w:rsidTr="00553A24">
        <w:trPr>
          <w:trHeight w:hRule="exact" w:val="851"/>
        </w:trPr>
        <w:tc>
          <w:tcPr>
            <w:tcW w:w="8844" w:type="dxa"/>
            <w:tcMar>
              <w:left w:w="0" w:type="dxa"/>
              <w:right w:w="0" w:type="dxa"/>
            </w:tcMar>
          </w:tcPr>
          <w:p w:rsidR="00D01567" w:rsidRPr="00D45103" w:rsidRDefault="00D01567" w:rsidP="00D01567">
            <w:pPr>
              <w:pStyle w:val="a7"/>
              <w:spacing w:line="440" w:lineRule="exact"/>
              <w:ind w:rightChars="20" w:right="64"/>
              <w:jc w:val="both"/>
              <w:rPr>
                <w:rFonts w:ascii="黑体" w:eastAsia="黑体" w:cs="Times New Roman"/>
              </w:rPr>
            </w:pPr>
          </w:p>
        </w:tc>
      </w:tr>
      <w:tr w:rsidR="00D01567" w:rsidRPr="00D45103" w:rsidTr="00553A24">
        <w:tc>
          <w:tcPr>
            <w:tcW w:w="8844" w:type="dxa"/>
            <w:tcMar>
              <w:left w:w="0" w:type="dxa"/>
              <w:right w:w="0" w:type="dxa"/>
            </w:tcMar>
          </w:tcPr>
          <w:p w:rsidR="00D01567" w:rsidRPr="004935C7" w:rsidRDefault="00D01567" w:rsidP="00E81DDD">
            <w:pPr>
              <w:pStyle w:val="a6"/>
              <w:spacing w:beforeLines="50" w:afterLines="50" w:line="1300" w:lineRule="exact"/>
              <w:ind w:leftChars="50" w:left="160" w:rightChars="50" w:right="160" w:firstLine="0"/>
              <w:rPr>
                <w:rFonts w:ascii="Times New Roman" w:eastAsia="方正小标宋_GBK" w:cs="Times New Roman"/>
                <w:b w:val="0"/>
                <w:noProof/>
                <w:sz w:val="130"/>
                <w:szCs w:val="130"/>
              </w:rPr>
            </w:pPr>
            <w:r w:rsidRPr="004935C7">
              <w:rPr>
                <w:rFonts w:ascii="Times New Roman" w:eastAsia="方正小标宋_GBK" w:cs="方正小标宋_GBK" w:hint="eastAsia"/>
                <w:b w:val="0"/>
                <w:sz w:val="130"/>
                <w:szCs w:val="130"/>
              </w:rPr>
              <w:t>南通市交通运输局文件</w:t>
            </w:r>
          </w:p>
        </w:tc>
      </w:tr>
      <w:tr w:rsidR="00D01567" w:rsidTr="00553A24">
        <w:tc>
          <w:tcPr>
            <w:tcW w:w="8844" w:type="dxa"/>
            <w:tcMar>
              <w:left w:w="0" w:type="dxa"/>
              <w:right w:w="0" w:type="dxa"/>
            </w:tcMar>
          </w:tcPr>
          <w:p w:rsidR="00D01567" w:rsidRDefault="00D01567" w:rsidP="00553A24">
            <w:pPr>
              <w:tabs>
                <w:tab w:val="right" w:pos="8533"/>
              </w:tabs>
              <w:spacing w:line="1000" w:lineRule="exact"/>
              <w:ind w:left="312"/>
              <w:rPr>
                <w:noProof/>
              </w:rPr>
            </w:pPr>
          </w:p>
        </w:tc>
      </w:tr>
      <w:tr w:rsidR="00D01567" w:rsidRPr="00043560" w:rsidTr="00553A24">
        <w:tc>
          <w:tcPr>
            <w:tcW w:w="8844" w:type="dxa"/>
            <w:tcMar>
              <w:left w:w="0" w:type="dxa"/>
              <w:right w:w="0" w:type="dxa"/>
            </w:tcMar>
          </w:tcPr>
          <w:p w:rsidR="00D01567" w:rsidRPr="006B1013" w:rsidRDefault="00D01567" w:rsidP="00D01567">
            <w:pPr>
              <w:jc w:val="center"/>
              <w:rPr>
                <w:rFonts w:eastAsia="方正仿宋_GBK"/>
                <w:szCs w:val="32"/>
              </w:rPr>
            </w:pPr>
            <w:r w:rsidRPr="006B1013">
              <w:rPr>
                <w:rFonts w:eastAsia="方正仿宋_GBK"/>
                <w:szCs w:val="32"/>
              </w:rPr>
              <w:t>通交</w:t>
            </w:r>
            <w:r>
              <w:rPr>
                <w:rFonts w:eastAsia="方正仿宋_GBK" w:hint="eastAsia"/>
                <w:szCs w:val="32"/>
              </w:rPr>
              <w:t>综</w:t>
            </w:r>
            <w:r w:rsidRPr="006B1013">
              <w:rPr>
                <w:rFonts w:eastAsia="方正仿宋_GBK"/>
                <w:szCs w:val="32"/>
              </w:rPr>
              <w:t>〔</w:t>
            </w:r>
            <w:r w:rsidRPr="006B1013">
              <w:rPr>
                <w:rFonts w:eastAsia="方正仿宋_GBK"/>
                <w:szCs w:val="32"/>
              </w:rPr>
              <w:t>202</w:t>
            </w:r>
            <w:r>
              <w:rPr>
                <w:rFonts w:eastAsia="方正仿宋_GBK" w:hint="eastAsia"/>
                <w:szCs w:val="32"/>
              </w:rPr>
              <w:t>3</w:t>
            </w:r>
            <w:r w:rsidRPr="006B1013">
              <w:rPr>
                <w:rFonts w:eastAsia="方正仿宋_GBK"/>
                <w:szCs w:val="32"/>
              </w:rPr>
              <w:t>〕</w:t>
            </w:r>
            <w:r w:rsidR="008402F9">
              <w:rPr>
                <w:rFonts w:eastAsia="方正仿宋_GBK" w:hint="eastAsia"/>
                <w:szCs w:val="32"/>
              </w:rPr>
              <w:t>92</w:t>
            </w:r>
            <w:r w:rsidRPr="006B1013">
              <w:rPr>
                <w:rFonts w:eastAsia="方正仿宋_GBK"/>
                <w:szCs w:val="32"/>
              </w:rPr>
              <w:t>号</w:t>
            </w:r>
          </w:p>
        </w:tc>
      </w:tr>
      <w:tr w:rsidR="00D01567" w:rsidRPr="00D45103" w:rsidTr="00553A24">
        <w:tc>
          <w:tcPr>
            <w:tcW w:w="8844" w:type="dxa"/>
            <w:tcMar>
              <w:left w:w="0" w:type="dxa"/>
              <w:right w:w="0" w:type="dxa"/>
            </w:tcMar>
          </w:tcPr>
          <w:p w:rsidR="00D01567" w:rsidRPr="00D45103" w:rsidRDefault="00D01567" w:rsidP="00553A24">
            <w:pPr>
              <w:pStyle w:val="a8"/>
              <w:snapToGrid w:val="0"/>
              <w:spacing w:after="840" w:line="200" w:lineRule="atLeast"/>
              <w:ind w:left="-57" w:right="-57"/>
              <w:rPr>
                <w:rFonts w:ascii="Times New Roman" w:cs="Times New Roman"/>
              </w:rPr>
            </w:pPr>
            <w:r w:rsidRPr="00D45103">
              <w:rPr>
                <w:rFonts w:ascii="Times New Roman" w:cs="Times New Roman"/>
              </w:rPr>
              <w:object w:dxaOrig="7921" w:dyaOrig="1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6.75pt" o:ole="" fillcolor="window">
                  <v:imagedata r:id="rId7" o:title=""/>
                </v:shape>
                <o:OLEObject Type="Embed" ProgID="Word.Picture.8" ShapeID="_x0000_i1025" DrawAspect="Content" ObjectID="_1761049859" r:id="rId8"/>
              </w:object>
            </w:r>
          </w:p>
        </w:tc>
      </w:tr>
    </w:tbl>
    <w:p w:rsidR="00E14BBD" w:rsidRDefault="00E14BBD">
      <w:pPr>
        <w:spacing w:line="580" w:lineRule="exact"/>
        <w:jc w:val="center"/>
        <w:rPr>
          <w:rFonts w:eastAsia="方正小标宋简体"/>
          <w:sz w:val="44"/>
        </w:rPr>
      </w:pPr>
    </w:p>
    <w:p w:rsidR="00E14BBD" w:rsidRPr="002A6DDC" w:rsidRDefault="00D16049">
      <w:pPr>
        <w:spacing w:line="580" w:lineRule="exact"/>
        <w:jc w:val="center"/>
        <w:rPr>
          <w:rFonts w:ascii="方正小标宋_GBK" w:eastAsia="方正小标宋_GBK"/>
          <w:sz w:val="44"/>
        </w:rPr>
      </w:pPr>
      <w:r w:rsidRPr="002A6DDC">
        <w:rPr>
          <w:rFonts w:ascii="方正小标宋_GBK" w:eastAsia="方正小标宋_GBK" w:hint="eastAsia"/>
          <w:sz w:val="44"/>
        </w:rPr>
        <w:t>关于加强交通运输领域重点关注对象信用管理及分级分类监管的实施意见</w:t>
      </w:r>
    </w:p>
    <w:p w:rsidR="00E14BBD" w:rsidRDefault="00E14BBD">
      <w:pPr>
        <w:spacing w:line="580" w:lineRule="exact"/>
        <w:rPr>
          <w:rFonts w:eastAsia="仿宋_GB2312"/>
        </w:rPr>
      </w:pPr>
    </w:p>
    <w:p w:rsidR="00E14BBD" w:rsidRDefault="00D16049">
      <w:pPr>
        <w:spacing w:line="580" w:lineRule="exact"/>
        <w:rPr>
          <w:rFonts w:eastAsia="方正仿宋_GBK"/>
        </w:rPr>
      </w:pPr>
      <w:bookmarkStart w:id="0" w:name="SendTo"/>
      <w:r>
        <w:rPr>
          <w:rFonts w:eastAsia="方正仿宋_GBK"/>
        </w:rPr>
        <w:t>各</w:t>
      </w:r>
      <w:bookmarkEnd w:id="0"/>
      <w:r>
        <w:rPr>
          <w:rFonts w:eastAsia="方正仿宋_GBK"/>
        </w:rPr>
        <w:t>县（市）</w:t>
      </w:r>
      <w:r>
        <w:rPr>
          <w:rFonts w:eastAsia="方正仿宋_GBK" w:hint="eastAsia"/>
        </w:rPr>
        <w:t>、</w:t>
      </w:r>
      <w:r>
        <w:rPr>
          <w:rFonts w:eastAsia="方正仿宋_GBK"/>
        </w:rPr>
        <w:t>区交通运输局</w:t>
      </w:r>
      <w:r>
        <w:rPr>
          <w:rFonts w:eastAsia="方正仿宋_GBK" w:hint="eastAsia"/>
        </w:rPr>
        <w:t>、市属交通各企事业单位，局机关各处室</w:t>
      </w:r>
      <w:r>
        <w:rPr>
          <w:rFonts w:eastAsia="方正仿宋_GBK"/>
        </w:rPr>
        <w:t>：</w:t>
      </w:r>
    </w:p>
    <w:p w:rsidR="00E14BBD" w:rsidRDefault="00D16049">
      <w:pPr>
        <w:spacing w:line="580" w:lineRule="exact"/>
        <w:ind w:firstLineChars="200" w:firstLine="640"/>
        <w:rPr>
          <w:rFonts w:eastAsia="方正仿宋_GBK"/>
        </w:rPr>
      </w:pPr>
      <w:r>
        <w:rPr>
          <w:rFonts w:eastAsia="方正仿宋_GBK" w:hint="eastAsia"/>
        </w:rPr>
        <w:t>为深入推进南通“信用交通城市”建设，加快推进交通运输领域信用精准监管，依据《加强我省交通运输重点领域信用分级分类监管与服务的指导意见》（</w:t>
      </w:r>
      <w:proofErr w:type="gramStart"/>
      <w:r>
        <w:rPr>
          <w:rFonts w:eastAsia="方正仿宋_GBK" w:hint="eastAsia"/>
        </w:rPr>
        <w:t>苏交政研</w:t>
      </w:r>
      <w:proofErr w:type="gramEnd"/>
      <w:r>
        <w:rPr>
          <w:rFonts w:eastAsia="方正仿宋_GBK" w:hint="eastAsia"/>
        </w:rPr>
        <w:t>〔</w:t>
      </w:r>
      <w:r>
        <w:rPr>
          <w:rFonts w:eastAsia="方正仿宋_GBK" w:hint="eastAsia"/>
        </w:rPr>
        <w:t>2022</w:t>
      </w:r>
      <w:r>
        <w:rPr>
          <w:rFonts w:eastAsia="方正仿宋_GBK" w:hint="eastAsia"/>
        </w:rPr>
        <w:t>〕</w:t>
      </w:r>
      <w:r>
        <w:rPr>
          <w:rFonts w:eastAsia="方正仿宋_GBK" w:hint="eastAsia"/>
        </w:rPr>
        <w:t>5</w:t>
      </w:r>
      <w:r>
        <w:rPr>
          <w:rFonts w:eastAsia="方正仿宋_GBK" w:hint="eastAsia"/>
        </w:rPr>
        <w:t>号）等文件要求，制定如下实施意见。</w:t>
      </w:r>
    </w:p>
    <w:p w:rsidR="00E14BBD" w:rsidRDefault="00D16049">
      <w:pPr>
        <w:spacing w:line="580" w:lineRule="exact"/>
        <w:ind w:firstLineChars="200" w:firstLine="640"/>
        <w:rPr>
          <w:rFonts w:eastAsia="黑体"/>
        </w:rPr>
      </w:pPr>
      <w:r>
        <w:rPr>
          <w:rFonts w:eastAsia="黑体"/>
        </w:rPr>
        <w:lastRenderedPageBreak/>
        <w:t>一、</w:t>
      </w:r>
      <w:r>
        <w:rPr>
          <w:rFonts w:eastAsia="黑体" w:hint="eastAsia"/>
        </w:rPr>
        <w:t>总体目标</w:t>
      </w:r>
    </w:p>
    <w:p w:rsidR="00E14BBD" w:rsidRDefault="00D16049">
      <w:pPr>
        <w:spacing w:line="580" w:lineRule="exact"/>
        <w:ind w:firstLineChars="200" w:firstLine="640"/>
        <w:rPr>
          <w:rFonts w:eastAsia="方正仿宋_GBK"/>
        </w:rPr>
      </w:pPr>
      <w:r>
        <w:rPr>
          <w:rFonts w:eastAsia="方正仿宋_GBK" w:hint="eastAsia"/>
        </w:rPr>
        <w:t>坚持以习近平新时代中国特色社会主义思想为指导，贯彻落实省市各级关于信用体系建设的决策部署，以“信用交通城市”建设为载体，立足我市交通运输发展形势和实际要求，综合运用互联网、大数据等信息技术手段，全面推进行业信用评价，坚持信用与交通运输业</w:t>
      </w:r>
      <w:proofErr w:type="gramStart"/>
      <w:r>
        <w:rPr>
          <w:rFonts w:eastAsia="方正仿宋_GBK" w:hint="eastAsia"/>
        </w:rPr>
        <w:t>务</w:t>
      </w:r>
      <w:proofErr w:type="gramEnd"/>
      <w:r>
        <w:rPr>
          <w:rFonts w:eastAsia="方正仿宋_GBK" w:hint="eastAsia"/>
        </w:rPr>
        <w:t>融合，推动信用管理与业内监管、市场服务深度融合，形成监管合力，在交通运输重点领域推进信用分级分类监管，推进精准监管、智慧监管、公正监管、有效监管，提升监管综合效能。</w:t>
      </w:r>
    </w:p>
    <w:p w:rsidR="00E14BBD" w:rsidRPr="00D01567" w:rsidRDefault="00D16049">
      <w:pPr>
        <w:spacing w:line="580" w:lineRule="exact"/>
        <w:ind w:firstLineChars="200" w:firstLine="640"/>
        <w:rPr>
          <w:rFonts w:ascii="方正黑体_GBK" w:eastAsia="方正黑体_GBK"/>
        </w:rPr>
      </w:pPr>
      <w:r w:rsidRPr="00D01567">
        <w:rPr>
          <w:rFonts w:ascii="方正黑体_GBK" w:eastAsia="方正黑体_GBK" w:hint="eastAsia"/>
        </w:rPr>
        <w:t>二、重点任务</w:t>
      </w:r>
    </w:p>
    <w:p w:rsidR="00E14BBD" w:rsidRPr="00D01567" w:rsidRDefault="00D16049">
      <w:pPr>
        <w:autoSpaceDE w:val="0"/>
        <w:autoSpaceDN w:val="0"/>
        <w:snapToGrid w:val="0"/>
        <w:spacing w:line="590" w:lineRule="exact"/>
        <w:ind w:firstLine="624"/>
        <w:rPr>
          <w:rFonts w:ascii="方正楷体_GBK" w:eastAsia="方正楷体_GBK"/>
          <w:bCs/>
          <w:kern w:val="0"/>
          <w:szCs w:val="20"/>
        </w:rPr>
      </w:pPr>
      <w:r w:rsidRPr="00D01567">
        <w:rPr>
          <w:rFonts w:ascii="方正楷体_GBK" w:eastAsia="方正楷体_GBK" w:hint="eastAsia"/>
          <w:bCs/>
          <w:kern w:val="0"/>
          <w:szCs w:val="20"/>
        </w:rPr>
        <w:t>（一）加强重点关注对象管理</w:t>
      </w:r>
    </w:p>
    <w:p w:rsidR="00E14BBD" w:rsidRDefault="00D16049">
      <w:pPr>
        <w:spacing w:line="580" w:lineRule="exact"/>
        <w:ind w:firstLineChars="200" w:firstLine="643"/>
        <w:rPr>
          <w:rFonts w:eastAsia="方正仿宋_GBK"/>
        </w:rPr>
      </w:pPr>
      <w:r>
        <w:rPr>
          <w:rFonts w:eastAsia="方正仿宋_GBK" w:hint="eastAsia"/>
          <w:b/>
          <w:bCs/>
        </w:rPr>
        <w:t>1.</w:t>
      </w:r>
      <w:r>
        <w:rPr>
          <w:rFonts w:eastAsia="方正仿宋_GBK" w:hint="eastAsia"/>
          <w:b/>
          <w:bCs/>
        </w:rPr>
        <w:t>推进重点关注对象认定工作。</w:t>
      </w:r>
      <w:r>
        <w:rPr>
          <w:rFonts w:eastAsia="方正仿宋_GBK" w:hint="eastAsia"/>
        </w:rPr>
        <w:t>按照</w:t>
      </w:r>
      <w:proofErr w:type="gramStart"/>
      <w:r>
        <w:rPr>
          <w:rFonts w:eastAsia="方正仿宋_GBK" w:hint="eastAsia"/>
        </w:rPr>
        <w:t>省级交通</w:t>
      </w:r>
      <w:proofErr w:type="gramEnd"/>
      <w:r>
        <w:rPr>
          <w:rFonts w:eastAsia="方正仿宋_GBK" w:hint="eastAsia"/>
        </w:rPr>
        <w:t>运输行业各细分领域信用管理实施细则关于重点关注对象的认定要求，将交通运输重点领域多次发生失信行为但尚未达到严重失信主体名单认定标准的信用主体，作为重点关注对象加强监管，认真执行重点关注对象的认定工作。</w:t>
      </w:r>
    </w:p>
    <w:p w:rsidR="00E14BBD" w:rsidRDefault="00D16049">
      <w:pPr>
        <w:spacing w:line="580" w:lineRule="exact"/>
        <w:ind w:firstLineChars="200" w:firstLine="643"/>
        <w:rPr>
          <w:rFonts w:eastAsia="方正仿宋_GBK"/>
        </w:rPr>
      </w:pPr>
      <w:r>
        <w:rPr>
          <w:rFonts w:eastAsia="方正仿宋_GBK" w:hint="eastAsia"/>
          <w:b/>
          <w:bCs/>
        </w:rPr>
        <w:t>2.</w:t>
      </w:r>
      <w:r>
        <w:rPr>
          <w:rFonts w:eastAsia="方正仿宋_GBK" w:hint="eastAsia"/>
          <w:b/>
          <w:bCs/>
        </w:rPr>
        <w:t>建立重点关注对象名单机制。</w:t>
      </w:r>
      <w:r>
        <w:rPr>
          <w:rFonts w:ascii="方正仿宋_GBK" w:eastAsia="方正仿宋_GBK" w:hAnsi="方正仿宋_GBK" w:cs="方正仿宋_GBK" w:hint="eastAsia"/>
          <w:szCs w:val="32"/>
        </w:rPr>
        <w:t>按照交通运输行业重点关注对象管理要求，细化各细分领域重点关注对象管理制度，</w:t>
      </w:r>
      <w:r>
        <w:rPr>
          <w:rFonts w:eastAsia="方正仿宋_GBK" w:hint="eastAsia"/>
        </w:rPr>
        <w:t>建立重点关注对象名单，规范名单信息内容。加强重点关注对象名单共享和应用，依托市交通运输局门户网站定期发布重点关注对象名单目录，为分级分类执法提供参考依据，合理分配执法资源。</w:t>
      </w:r>
    </w:p>
    <w:p w:rsidR="00E14BBD" w:rsidRDefault="00D16049">
      <w:pPr>
        <w:spacing w:line="580" w:lineRule="exact"/>
        <w:ind w:firstLineChars="200" w:firstLine="643"/>
        <w:rPr>
          <w:rFonts w:ascii="方正仿宋_GBK" w:eastAsia="方正仿宋_GBK" w:hAnsi="方正仿宋_GBK" w:cs="方正仿宋_GBK"/>
          <w:szCs w:val="32"/>
        </w:rPr>
      </w:pPr>
      <w:r>
        <w:rPr>
          <w:rFonts w:eastAsia="方正仿宋_GBK" w:hint="eastAsia"/>
          <w:b/>
          <w:bCs/>
        </w:rPr>
        <w:lastRenderedPageBreak/>
        <w:t>3.</w:t>
      </w:r>
      <w:r>
        <w:rPr>
          <w:rFonts w:eastAsia="方正仿宋_GBK" w:hint="eastAsia"/>
          <w:b/>
          <w:bCs/>
        </w:rPr>
        <w:t>强化重点关注对象动态管理。</w:t>
      </w:r>
      <w:r>
        <w:rPr>
          <w:rFonts w:ascii="方正仿宋_GBK" w:eastAsia="方正仿宋_GBK" w:hAnsi="方正仿宋_GBK" w:cs="方正仿宋_GBK" w:hint="eastAsia"/>
          <w:szCs w:val="32"/>
        </w:rPr>
        <w:t>建立</w:t>
      </w:r>
      <w:proofErr w:type="gramStart"/>
      <w:r>
        <w:rPr>
          <w:rFonts w:ascii="方正仿宋_GBK" w:eastAsia="方正仿宋_GBK" w:hAnsi="方正仿宋_GBK" w:cs="方正仿宋_GBK" w:hint="eastAsia"/>
          <w:szCs w:val="32"/>
        </w:rPr>
        <w:t>健全重点</w:t>
      </w:r>
      <w:proofErr w:type="gramEnd"/>
      <w:r>
        <w:rPr>
          <w:rFonts w:ascii="方正仿宋_GBK" w:eastAsia="方正仿宋_GBK" w:hAnsi="方正仿宋_GBK" w:cs="方正仿宋_GBK" w:hint="eastAsia"/>
          <w:szCs w:val="32"/>
        </w:rPr>
        <w:t>关注对象信用预警机制，</w:t>
      </w:r>
      <w:r>
        <w:rPr>
          <w:rFonts w:eastAsia="方正仿宋_GBK" w:hint="eastAsia"/>
        </w:rPr>
        <w:t>按照交通运输行业失信行为的认定标准，实施动态管理，</w:t>
      </w:r>
      <w:r>
        <w:rPr>
          <w:rFonts w:ascii="方正仿宋_GBK" w:eastAsia="方正仿宋_GBK" w:hAnsi="方正仿宋_GBK" w:cs="方正仿宋_GBK" w:hint="eastAsia"/>
          <w:szCs w:val="32"/>
        </w:rPr>
        <w:t>根据信用主体信用情况，及时将其移除重点关注对象名单或移入严重失信主体名单，实施重点关注对象动态管理。</w:t>
      </w:r>
    </w:p>
    <w:p w:rsidR="00E14BBD" w:rsidRPr="00D01567" w:rsidRDefault="00D16049">
      <w:pPr>
        <w:autoSpaceDE w:val="0"/>
        <w:autoSpaceDN w:val="0"/>
        <w:snapToGrid w:val="0"/>
        <w:spacing w:line="590" w:lineRule="exact"/>
        <w:ind w:firstLine="624"/>
        <w:rPr>
          <w:rFonts w:ascii="方正楷体_GBK" w:eastAsia="方正楷体_GBK"/>
          <w:bCs/>
          <w:kern w:val="0"/>
          <w:szCs w:val="20"/>
        </w:rPr>
      </w:pPr>
      <w:r w:rsidRPr="00D01567">
        <w:rPr>
          <w:rFonts w:ascii="方正楷体_GBK" w:eastAsia="方正楷体_GBK" w:hint="eastAsia"/>
          <w:bCs/>
          <w:kern w:val="0"/>
          <w:szCs w:val="20"/>
        </w:rPr>
        <w:t>（二）实施信用分级分类监管</w:t>
      </w:r>
    </w:p>
    <w:p w:rsidR="00E14BBD" w:rsidRDefault="00D16049">
      <w:pPr>
        <w:spacing w:line="580" w:lineRule="exact"/>
        <w:ind w:firstLineChars="200" w:firstLine="643"/>
        <w:rPr>
          <w:rFonts w:eastAsia="方正仿宋_GBK"/>
        </w:rPr>
      </w:pPr>
      <w:r>
        <w:rPr>
          <w:rFonts w:eastAsia="方正仿宋_GBK" w:hint="eastAsia"/>
          <w:b/>
          <w:bCs/>
        </w:rPr>
        <w:t>1.</w:t>
      </w:r>
      <w:r>
        <w:rPr>
          <w:rFonts w:eastAsia="方正仿宋_GBK" w:hint="eastAsia"/>
          <w:b/>
          <w:bCs/>
        </w:rPr>
        <w:t>深入开展道路运输“两客</w:t>
      </w:r>
      <w:proofErr w:type="gramStart"/>
      <w:r>
        <w:rPr>
          <w:rFonts w:eastAsia="方正仿宋_GBK" w:hint="eastAsia"/>
          <w:b/>
          <w:bCs/>
        </w:rPr>
        <w:t>一</w:t>
      </w:r>
      <w:proofErr w:type="gramEnd"/>
      <w:r>
        <w:rPr>
          <w:rFonts w:eastAsia="方正仿宋_GBK" w:hint="eastAsia"/>
          <w:b/>
          <w:bCs/>
        </w:rPr>
        <w:t>危”企业“信用</w:t>
      </w:r>
      <w:r>
        <w:rPr>
          <w:rFonts w:eastAsia="方正仿宋_GBK" w:hint="eastAsia"/>
          <w:b/>
          <w:bCs/>
        </w:rPr>
        <w:t>+</w:t>
      </w:r>
      <w:r>
        <w:rPr>
          <w:rFonts w:eastAsia="方正仿宋_GBK" w:hint="eastAsia"/>
          <w:b/>
          <w:bCs/>
        </w:rPr>
        <w:t>安全”监管。</w:t>
      </w:r>
      <w:r>
        <w:rPr>
          <w:rFonts w:eastAsia="方正仿宋_GBK" w:hint="eastAsia"/>
        </w:rPr>
        <w:t>严格执行《南通市“两客一危”道路运输安全评价管理办法（试行）》，结合《江苏省道路水路运输经营者信用管理办法》获得的信用得分和“两客</w:t>
      </w:r>
      <w:proofErr w:type="gramStart"/>
      <w:r>
        <w:rPr>
          <w:rFonts w:eastAsia="方正仿宋_GBK" w:hint="eastAsia"/>
        </w:rPr>
        <w:t>一</w:t>
      </w:r>
      <w:proofErr w:type="gramEnd"/>
      <w:r>
        <w:rPr>
          <w:rFonts w:eastAsia="方正仿宋_GBK" w:hint="eastAsia"/>
        </w:rPr>
        <w:t>危”道路运输动态监控工作考核得分，对道路运输客运企业进行综合记分，将最终分值作为新增运力、车辆更新、增加经营范围的依据，让失信企业受到信用管理制度和市场资源配置的双重约束。</w:t>
      </w:r>
    </w:p>
    <w:p w:rsidR="00E14BBD" w:rsidRDefault="00D16049">
      <w:pPr>
        <w:spacing w:line="580" w:lineRule="exact"/>
        <w:ind w:firstLineChars="200" w:firstLine="643"/>
        <w:rPr>
          <w:rFonts w:eastAsia="方正仿宋_GBK"/>
        </w:rPr>
      </w:pPr>
      <w:r>
        <w:rPr>
          <w:rFonts w:eastAsia="方正仿宋_GBK" w:hint="eastAsia"/>
          <w:b/>
          <w:bCs/>
        </w:rPr>
        <w:t>2.</w:t>
      </w:r>
      <w:r>
        <w:rPr>
          <w:rFonts w:eastAsia="方正仿宋_GBK" w:hint="eastAsia"/>
          <w:b/>
          <w:bCs/>
        </w:rPr>
        <w:t>强化普通货运企业信用分级分类监管。</w:t>
      </w:r>
      <w:r>
        <w:rPr>
          <w:rFonts w:eastAsia="方正仿宋_GBK" w:hint="eastAsia"/>
        </w:rPr>
        <w:t>将信用分级分类监管与“双随机、</w:t>
      </w:r>
      <w:proofErr w:type="gramStart"/>
      <w:r>
        <w:rPr>
          <w:rFonts w:eastAsia="方正仿宋_GBK" w:hint="eastAsia"/>
        </w:rPr>
        <w:t>一</w:t>
      </w:r>
      <w:proofErr w:type="gramEnd"/>
      <w:r>
        <w:rPr>
          <w:rFonts w:eastAsia="方正仿宋_GBK" w:hint="eastAsia"/>
        </w:rPr>
        <w:t>公开”有效结合，在制定年度行政执法检查计划时嵌入信用评价结果，对信用等级高的企业降低检查频次，对信用一般企业实施常规监管，对信用等级低的企业加大检查，靶向发力，提升信用监管效能。</w:t>
      </w:r>
    </w:p>
    <w:p w:rsidR="00E14BBD" w:rsidRDefault="00D16049">
      <w:pPr>
        <w:spacing w:line="580" w:lineRule="exact"/>
        <w:ind w:firstLineChars="200" w:firstLine="643"/>
        <w:rPr>
          <w:rFonts w:eastAsia="方正仿宋_GBK"/>
        </w:rPr>
      </w:pPr>
      <w:r>
        <w:rPr>
          <w:rFonts w:eastAsia="方正仿宋_GBK" w:hint="eastAsia"/>
          <w:b/>
          <w:bCs/>
        </w:rPr>
        <w:t>3.</w:t>
      </w:r>
      <w:r>
        <w:rPr>
          <w:rFonts w:eastAsia="方正仿宋_GBK" w:hint="eastAsia"/>
          <w:b/>
          <w:bCs/>
        </w:rPr>
        <w:t>深化超限超载信用治理。</w:t>
      </w:r>
      <w:r>
        <w:rPr>
          <w:rFonts w:eastAsia="方正仿宋_GBK" w:hint="eastAsia"/>
        </w:rPr>
        <w:t>进一步提升南通市超限超载监管服务平台功能，依托系统综合相关经营主体的信用状况、日常监管情况、违法情况等相关信息，对重点货物装载源头企业进行分级分类监管并建立重点关注对象名单，实现问题早发现、早解决，</w:t>
      </w:r>
      <w:r>
        <w:rPr>
          <w:rFonts w:eastAsia="方正仿宋_GBK" w:hint="eastAsia"/>
        </w:rPr>
        <w:lastRenderedPageBreak/>
        <w:t>不断提高监管精准化。</w:t>
      </w:r>
    </w:p>
    <w:p w:rsidR="00E14BBD" w:rsidRDefault="00D16049">
      <w:pPr>
        <w:spacing w:line="580" w:lineRule="exact"/>
        <w:ind w:firstLineChars="200" w:firstLine="643"/>
        <w:rPr>
          <w:rFonts w:eastAsia="方正仿宋_GBK"/>
        </w:rPr>
      </w:pPr>
      <w:r>
        <w:rPr>
          <w:rFonts w:eastAsia="方正仿宋_GBK" w:hint="eastAsia"/>
          <w:b/>
          <w:bCs/>
        </w:rPr>
        <w:t>4.</w:t>
      </w:r>
      <w:r>
        <w:rPr>
          <w:rFonts w:eastAsia="方正仿宋_GBK" w:hint="eastAsia"/>
          <w:b/>
          <w:bCs/>
        </w:rPr>
        <w:t>持续推进出租车信用监管。</w:t>
      </w:r>
      <w:r>
        <w:rPr>
          <w:rFonts w:eastAsia="方正仿宋_GBK" w:hint="eastAsia"/>
        </w:rPr>
        <w:t>落实违法行为记分，对投诉高、处罚多、满意率低的重点出租汽车、驾驶员建立内部“重点关注对象名单”。对于巡游出租汽车失信行为达到相应分值的，根据《江苏省道路水路运输经营者信用管理办法》落实相应工作举措，推动服务高质量发展。</w:t>
      </w:r>
    </w:p>
    <w:p w:rsidR="00E14BBD" w:rsidRDefault="00D16049">
      <w:pPr>
        <w:spacing w:line="580" w:lineRule="exact"/>
        <w:ind w:firstLineChars="200" w:firstLine="643"/>
        <w:rPr>
          <w:rFonts w:eastAsia="方正仿宋_GBK"/>
        </w:rPr>
      </w:pPr>
      <w:r>
        <w:rPr>
          <w:rFonts w:eastAsia="方正仿宋_GBK" w:hint="eastAsia"/>
          <w:b/>
          <w:bCs/>
        </w:rPr>
        <w:t>5.</w:t>
      </w:r>
      <w:r>
        <w:rPr>
          <w:rFonts w:eastAsia="方正仿宋_GBK" w:hint="eastAsia"/>
          <w:b/>
          <w:bCs/>
        </w:rPr>
        <w:t>持续开展水上运输企业分级分类监管。</w:t>
      </w:r>
      <w:r>
        <w:rPr>
          <w:rFonts w:eastAsia="方正仿宋_GBK" w:hint="eastAsia"/>
        </w:rPr>
        <w:t>根据信用等级评定结果对水路运输经营者进行信用分级，并对信用分级结果进行公示和应用，落实激励守信、约束失信的分级分类监管措施，着力引导经营主体提升诚信意识。</w:t>
      </w:r>
    </w:p>
    <w:p w:rsidR="00E14BBD" w:rsidRDefault="00D16049">
      <w:pPr>
        <w:spacing w:line="580" w:lineRule="exact"/>
        <w:ind w:firstLineChars="200" w:firstLine="643"/>
        <w:rPr>
          <w:rFonts w:eastAsia="方正仿宋_GBK"/>
        </w:rPr>
      </w:pPr>
      <w:r>
        <w:rPr>
          <w:rFonts w:eastAsia="方正仿宋_GBK" w:hint="eastAsia"/>
          <w:b/>
          <w:bCs/>
        </w:rPr>
        <w:t>6.</w:t>
      </w:r>
      <w:r>
        <w:rPr>
          <w:rFonts w:eastAsia="方正仿宋_GBK" w:hint="eastAsia"/>
          <w:b/>
          <w:bCs/>
        </w:rPr>
        <w:t>创新开展港口企业“信用</w:t>
      </w:r>
      <w:r>
        <w:rPr>
          <w:rFonts w:eastAsia="方正仿宋_GBK" w:hint="eastAsia"/>
          <w:b/>
          <w:bCs/>
        </w:rPr>
        <w:t>+</w:t>
      </w:r>
      <w:r>
        <w:rPr>
          <w:rFonts w:eastAsia="方正仿宋_GBK" w:hint="eastAsia"/>
          <w:b/>
          <w:bCs/>
        </w:rPr>
        <w:t>安全”综合监管。</w:t>
      </w:r>
      <w:r>
        <w:rPr>
          <w:rFonts w:eastAsia="方正仿宋_GBK" w:hint="eastAsia"/>
        </w:rPr>
        <w:t>依据港口企业安全分级分类监管评价标准，对港口企业进行千分制评分，根据得分情况评定安全风险等级，同时结合行业信用评价结果，对不同监管等级的港口企业落实分级分类监管措施。</w:t>
      </w:r>
    </w:p>
    <w:p w:rsidR="00E14BBD" w:rsidRDefault="00D16049">
      <w:pPr>
        <w:spacing w:line="580" w:lineRule="exact"/>
        <w:ind w:firstLineChars="200" w:firstLine="643"/>
        <w:rPr>
          <w:rFonts w:eastAsia="方正仿宋_GBK"/>
        </w:rPr>
      </w:pPr>
      <w:r>
        <w:rPr>
          <w:rFonts w:eastAsia="方正仿宋_GBK" w:hint="eastAsia"/>
          <w:b/>
          <w:bCs/>
        </w:rPr>
        <w:t>7.</w:t>
      </w:r>
      <w:r>
        <w:rPr>
          <w:rFonts w:eastAsia="方正仿宋_GBK" w:hint="eastAsia"/>
          <w:b/>
          <w:bCs/>
        </w:rPr>
        <w:t>开展到港船舶信用联合监管。</w:t>
      </w:r>
      <w:r>
        <w:rPr>
          <w:rFonts w:eastAsia="方正仿宋_GBK" w:hint="eastAsia"/>
        </w:rPr>
        <w:t>船闸管理部门与执法支队、海事部门等对到岗船舶实施信用联合监管，对现场执法检查中发现的、被通报的有关违章船舶，将相关失信信息推送至船闸部门，由船闸部门协助对相关船舶实施管控，暂缓其过闸手续办理，实现船舶诚信过闸。</w:t>
      </w:r>
    </w:p>
    <w:p w:rsidR="00E14BBD" w:rsidRDefault="00D16049">
      <w:pPr>
        <w:spacing w:line="580" w:lineRule="exact"/>
        <w:ind w:firstLineChars="200" w:firstLine="643"/>
        <w:rPr>
          <w:rFonts w:eastAsia="方正仿宋_GBK"/>
        </w:rPr>
      </w:pPr>
      <w:r>
        <w:rPr>
          <w:rFonts w:eastAsia="方正仿宋_GBK" w:hint="eastAsia"/>
          <w:b/>
          <w:bCs/>
        </w:rPr>
        <w:t>8.</w:t>
      </w:r>
      <w:r>
        <w:rPr>
          <w:rFonts w:eastAsia="方正仿宋_GBK" w:hint="eastAsia"/>
          <w:b/>
          <w:bCs/>
        </w:rPr>
        <w:t>依法依规开展交通建设养护工程质量分级分类监管。</w:t>
      </w:r>
      <w:r>
        <w:rPr>
          <w:rFonts w:eastAsia="方正仿宋_GBK" w:hint="eastAsia"/>
        </w:rPr>
        <w:t>依据《公路水运工程质量安全分类监管试点工作方案》《江苏省公路水运建设工程质量安全监督管理记分规定》等文件，对从业单位落实履约考核、记分管理和以“标段”为对象的交通工程质量安全分级分类监管。</w:t>
      </w:r>
    </w:p>
    <w:p w:rsidR="00E14BBD" w:rsidRDefault="00D16049">
      <w:pPr>
        <w:spacing w:line="580" w:lineRule="exact"/>
        <w:ind w:firstLineChars="200" w:firstLine="643"/>
        <w:rPr>
          <w:rFonts w:eastAsia="方正仿宋_GBK"/>
        </w:rPr>
      </w:pPr>
      <w:r>
        <w:rPr>
          <w:rFonts w:eastAsia="方正仿宋_GBK" w:hint="eastAsia"/>
          <w:b/>
          <w:bCs/>
        </w:rPr>
        <w:t>9.</w:t>
      </w:r>
      <w:r>
        <w:rPr>
          <w:rFonts w:eastAsia="方正仿宋_GBK" w:hint="eastAsia"/>
          <w:b/>
          <w:bCs/>
        </w:rPr>
        <w:t>依法依规开展普通国省道</w:t>
      </w:r>
      <w:bookmarkStart w:id="1" w:name="_GoBack"/>
      <w:bookmarkEnd w:id="1"/>
      <w:r>
        <w:rPr>
          <w:rFonts w:eastAsia="方正仿宋_GBK" w:hint="eastAsia"/>
          <w:b/>
          <w:bCs/>
        </w:rPr>
        <w:t>养护作业单位信用监管。</w:t>
      </w:r>
      <w:r>
        <w:rPr>
          <w:rFonts w:eastAsia="方正仿宋_GBK" w:hint="eastAsia"/>
        </w:rPr>
        <w:t>依据《江苏省公路养护作业单位信用管理办法》，依法依规对养护作业单位进行投标行为评价和履约行为评价，依据评价结果推进落实分级分类差异化监管与服务措施。</w:t>
      </w:r>
    </w:p>
    <w:p w:rsidR="00E14BBD" w:rsidRDefault="00D16049">
      <w:pPr>
        <w:spacing w:line="580" w:lineRule="exact"/>
        <w:ind w:firstLineChars="200" w:firstLine="643"/>
        <w:rPr>
          <w:rFonts w:eastAsia="方正仿宋_GBK"/>
        </w:rPr>
      </w:pPr>
      <w:r>
        <w:rPr>
          <w:rFonts w:eastAsia="方正仿宋_GBK" w:hint="eastAsia"/>
          <w:b/>
          <w:bCs/>
        </w:rPr>
        <w:t>10.</w:t>
      </w:r>
      <w:r>
        <w:rPr>
          <w:rFonts w:eastAsia="方正仿宋_GBK" w:hint="eastAsia"/>
          <w:b/>
          <w:bCs/>
        </w:rPr>
        <w:t>深化驾</w:t>
      </w:r>
      <w:proofErr w:type="gramStart"/>
      <w:r>
        <w:rPr>
          <w:rFonts w:eastAsia="方正仿宋_GBK" w:hint="eastAsia"/>
          <w:b/>
          <w:bCs/>
        </w:rPr>
        <w:t>培机构</w:t>
      </w:r>
      <w:proofErr w:type="gramEnd"/>
      <w:r>
        <w:rPr>
          <w:rFonts w:eastAsia="方正仿宋_GBK" w:hint="eastAsia"/>
          <w:b/>
          <w:bCs/>
        </w:rPr>
        <w:t>信用监管。</w:t>
      </w:r>
      <w:r>
        <w:rPr>
          <w:rFonts w:eastAsia="方正仿宋_GBK" w:hint="eastAsia"/>
        </w:rPr>
        <w:t>建立完善驾培经营者和教练员信用等级评定标准和考核体系，定期开展驾培经营者、教练员信用评定活动，根据信用考核结果对驾培经营者和教练员实施监督管理，对存在失信行为的驾培经营者和教练员依法采取相关约束措施，落实抄告管理。</w:t>
      </w:r>
    </w:p>
    <w:p w:rsidR="00E14BBD" w:rsidRDefault="00D16049">
      <w:pPr>
        <w:spacing w:line="580" w:lineRule="exact"/>
        <w:ind w:firstLineChars="200" w:firstLine="643"/>
        <w:rPr>
          <w:rFonts w:eastAsia="方正仿宋_GBK"/>
        </w:rPr>
      </w:pPr>
      <w:r>
        <w:rPr>
          <w:rFonts w:eastAsia="方正仿宋_GBK" w:hint="eastAsia"/>
          <w:b/>
          <w:bCs/>
        </w:rPr>
        <w:t>11.</w:t>
      </w:r>
      <w:r>
        <w:rPr>
          <w:rFonts w:eastAsia="方正仿宋_GBK" w:hint="eastAsia"/>
          <w:b/>
          <w:bCs/>
        </w:rPr>
        <w:t>鼓励探索其他领域信用监管。</w:t>
      </w:r>
      <w:r>
        <w:rPr>
          <w:rFonts w:eastAsia="方正仿宋_GBK" w:hint="eastAsia"/>
        </w:rPr>
        <w:t>各单位（部门）可结合工作需求，积极探索其他交通运输监管事项的信用监管，并形成创新成果向全市、全省推广应用。</w:t>
      </w:r>
    </w:p>
    <w:p w:rsidR="00E14BBD" w:rsidRPr="00D01567" w:rsidRDefault="00D16049">
      <w:pPr>
        <w:spacing w:line="580" w:lineRule="exact"/>
        <w:ind w:firstLineChars="200" w:firstLine="640"/>
        <w:rPr>
          <w:rFonts w:ascii="方正黑体_GBK" w:eastAsia="方正黑体_GBK"/>
        </w:rPr>
      </w:pPr>
      <w:r w:rsidRPr="00D01567">
        <w:rPr>
          <w:rFonts w:ascii="方正黑体_GBK" w:eastAsia="方正黑体_GBK" w:hint="eastAsia"/>
        </w:rPr>
        <w:t>三</w:t>
      </w:r>
      <w:r w:rsidRPr="00D01567">
        <w:rPr>
          <w:rFonts w:ascii="方正黑体_GBK" w:eastAsia="方正黑体_GBK"/>
        </w:rPr>
        <w:t>、</w:t>
      </w:r>
      <w:r w:rsidRPr="00D01567">
        <w:rPr>
          <w:rFonts w:ascii="方正黑体_GBK" w:eastAsia="方正黑体_GBK" w:hint="eastAsia"/>
        </w:rPr>
        <w:t>实施保障</w:t>
      </w:r>
    </w:p>
    <w:p w:rsidR="00E14BBD" w:rsidRDefault="00D16049">
      <w:pPr>
        <w:spacing w:line="580" w:lineRule="exact"/>
        <w:ind w:firstLineChars="200" w:firstLine="640"/>
        <w:rPr>
          <w:rFonts w:eastAsia="方正仿宋_GBK"/>
        </w:rPr>
      </w:pPr>
      <w:r>
        <w:rPr>
          <w:rFonts w:eastAsia="仿宋" w:hint="eastAsia"/>
          <w:szCs w:val="32"/>
        </w:rPr>
        <w:t>1.</w:t>
      </w:r>
      <w:r>
        <w:rPr>
          <w:rFonts w:eastAsia="仿宋" w:hint="eastAsia"/>
          <w:szCs w:val="32"/>
        </w:rPr>
        <w:t>强化统筹协调</w:t>
      </w:r>
      <w:r>
        <w:rPr>
          <w:rFonts w:eastAsia="方正仿宋_GBK" w:hint="eastAsia"/>
        </w:rPr>
        <w:t>。充分发挥我市交通运输信用体系建设领导小组职能，积极推进各单位（部门）分级分类监管和服务，科学配置资源，合力统筹推进跨部门、跨行业、跨地区信用协同监管和服务。</w:t>
      </w:r>
    </w:p>
    <w:p w:rsidR="00E14BBD" w:rsidRDefault="00D16049">
      <w:pPr>
        <w:spacing w:line="580" w:lineRule="exact"/>
        <w:ind w:firstLineChars="200" w:firstLine="640"/>
        <w:rPr>
          <w:rFonts w:eastAsia="方正仿宋_GBK"/>
        </w:rPr>
      </w:pPr>
      <w:r>
        <w:rPr>
          <w:rFonts w:eastAsia="方正仿宋_GBK" w:hint="eastAsia"/>
        </w:rPr>
        <w:t>2.</w:t>
      </w:r>
      <w:r>
        <w:rPr>
          <w:rFonts w:eastAsia="方正仿宋_GBK" w:hint="eastAsia"/>
        </w:rPr>
        <w:t>开展试点示范。各单位（部门）根据自身信用管理需求，积极探索创新，依托信用交通城市建设工作，结合行业专项治理，针对当前行业发展中信用热点问题和群众反映强烈的失信突出问题，组织开展交通运输重点领域信用分级分类监管与服务试点工作，并及时提炼、总结，形成典型案例与示范向全市、全省推广应用。</w:t>
      </w:r>
    </w:p>
    <w:p w:rsidR="00E14BBD" w:rsidRDefault="00D16049">
      <w:pPr>
        <w:spacing w:line="580" w:lineRule="exact"/>
        <w:ind w:firstLineChars="200" w:firstLine="640"/>
        <w:rPr>
          <w:rFonts w:eastAsia="方正仿宋_GBK"/>
        </w:rPr>
      </w:pPr>
      <w:r>
        <w:rPr>
          <w:rFonts w:eastAsia="方正仿宋_GBK" w:hint="eastAsia"/>
        </w:rPr>
        <w:t>3.</w:t>
      </w:r>
      <w:r>
        <w:rPr>
          <w:rFonts w:eastAsia="方正仿宋_GBK" w:hint="eastAsia"/>
        </w:rPr>
        <w:t>加强宣传引导</w:t>
      </w:r>
      <w:r>
        <w:rPr>
          <w:rFonts w:eastAsia="方正仿宋_GBK"/>
        </w:rPr>
        <w:t>。</w:t>
      </w:r>
      <w:r>
        <w:rPr>
          <w:rFonts w:eastAsia="方正仿宋_GBK" w:hint="eastAsia"/>
        </w:rPr>
        <w:t>通过“信用交通宣传月”“诚信兴商”等宣传活动，</w:t>
      </w:r>
      <w:r>
        <w:rPr>
          <w:rFonts w:eastAsia="方正仿宋_GBK"/>
        </w:rPr>
        <w:t>加大宣传力度，加强</w:t>
      </w:r>
      <w:r>
        <w:rPr>
          <w:rFonts w:eastAsia="方正仿宋_GBK" w:hint="eastAsia"/>
        </w:rPr>
        <w:t>市场主体信用管理</w:t>
      </w:r>
      <w:r>
        <w:rPr>
          <w:rFonts w:eastAsia="方正仿宋_GBK"/>
        </w:rPr>
        <w:t>知识普及</w:t>
      </w:r>
      <w:r>
        <w:rPr>
          <w:rFonts w:eastAsia="方正仿宋_GBK" w:hint="eastAsia"/>
        </w:rPr>
        <w:t>和</w:t>
      </w:r>
      <w:r>
        <w:rPr>
          <w:rFonts w:eastAsia="方正仿宋_GBK"/>
        </w:rPr>
        <w:t>教育，</w:t>
      </w:r>
      <w:r>
        <w:rPr>
          <w:rFonts w:eastAsia="方正仿宋_GBK" w:hint="eastAsia"/>
        </w:rPr>
        <w:t>积极引导企业加强自身诚信建设，</w:t>
      </w:r>
      <w:r>
        <w:rPr>
          <w:rFonts w:eastAsia="方正仿宋_GBK"/>
        </w:rPr>
        <w:t>强化</w:t>
      </w:r>
      <w:r>
        <w:rPr>
          <w:rFonts w:eastAsia="方正仿宋_GBK" w:hint="eastAsia"/>
        </w:rPr>
        <w:t>诚信经营</w:t>
      </w:r>
      <w:r>
        <w:rPr>
          <w:rFonts w:eastAsia="方正仿宋_GBK"/>
        </w:rPr>
        <w:t>意识。</w:t>
      </w:r>
    </w:p>
    <w:p w:rsidR="00E14BBD" w:rsidRDefault="00E14BBD">
      <w:pPr>
        <w:spacing w:line="580" w:lineRule="exact"/>
        <w:ind w:firstLineChars="200" w:firstLine="640"/>
        <w:rPr>
          <w:rFonts w:eastAsia="方正楷体_GBK"/>
        </w:rPr>
      </w:pPr>
    </w:p>
    <w:p w:rsidR="00D01567" w:rsidRDefault="00D01567">
      <w:pPr>
        <w:spacing w:line="580" w:lineRule="exact"/>
        <w:ind w:firstLineChars="200" w:firstLine="640"/>
        <w:rPr>
          <w:rFonts w:eastAsia="方正楷体_GBK"/>
        </w:rPr>
      </w:pPr>
    </w:p>
    <w:p w:rsidR="00D01567" w:rsidRDefault="00D01567">
      <w:pPr>
        <w:spacing w:line="580" w:lineRule="exact"/>
        <w:ind w:firstLineChars="200" w:firstLine="640"/>
        <w:rPr>
          <w:rFonts w:eastAsia="方正楷体_GBK"/>
        </w:rPr>
      </w:pPr>
    </w:p>
    <w:p w:rsidR="00E14BBD" w:rsidRDefault="003A1AF4" w:rsidP="00D01567">
      <w:pPr>
        <w:spacing w:line="580" w:lineRule="exact"/>
        <w:ind w:firstLineChars="1650" w:firstLine="5280"/>
        <w:rPr>
          <w:rFonts w:eastAsia="方正仿宋_GBK"/>
        </w:rPr>
      </w:pPr>
      <w:r>
        <w:rPr>
          <w:rFonts w:eastAsia="方正仿宋_GBK" w:hint="eastAsia"/>
          <w:noProof/>
        </w:rPr>
        <w:pict>
          <v:shapetype id="_x0000_t201" coordsize="21600,21600" o:spt="201" path="m,l,21600r21600,l21600,xe">
            <v:stroke joinstyle="miter"/>
            <v:path shadowok="f" o:extrusionok="f" strokeok="f" fillok="f" o:connecttype="rect"/>
            <o:lock v:ext="edit" shapetype="t"/>
          </v:shapetype>
          <v:shape id="_x0000_s2054" type="#_x0000_t201" style="position:absolute;left:0;text-align:left;margin-left:355.1pt;margin-top:384.3pt;width:113.25pt;height:113.25pt;z-index:251659264;mso-position-horizontal:absolute;mso-position-horizontal-relative:page;mso-position-vertical:absolute;mso-position-vertical-relative:page" stroked="f">
            <v:imagedata r:id="rId9" o:title=""/>
            <w10:wrap anchorx="page" anchory="page"/>
          </v:shape>
          <w:control r:id="rId10" w:name="SignatureCtrl1" w:shapeid="_x0000_s2054"/>
        </w:pict>
      </w:r>
      <w:r w:rsidR="00D16049">
        <w:rPr>
          <w:rFonts w:eastAsia="方正仿宋_GBK" w:hint="eastAsia"/>
        </w:rPr>
        <w:t>南通</w:t>
      </w:r>
      <w:r w:rsidR="00D16049">
        <w:rPr>
          <w:rFonts w:eastAsia="方正仿宋_GBK"/>
        </w:rPr>
        <w:t>市交通运输局</w:t>
      </w:r>
    </w:p>
    <w:p w:rsidR="00E14BBD" w:rsidRDefault="00D16049" w:rsidP="00D01567">
      <w:pPr>
        <w:spacing w:line="580" w:lineRule="exact"/>
        <w:ind w:firstLineChars="1700" w:firstLine="5440"/>
        <w:rPr>
          <w:rFonts w:eastAsia="方正仿宋_GBK"/>
        </w:rPr>
      </w:pPr>
      <w:r>
        <w:rPr>
          <w:rFonts w:eastAsia="方正仿宋_GBK"/>
        </w:rPr>
        <w:t>2023</w:t>
      </w:r>
      <w:r>
        <w:rPr>
          <w:rFonts w:eastAsia="方正仿宋_GBK"/>
        </w:rPr>
        <w:t>年</w:t>
      </w:r>
      <w:r w:rsidR="00A71498">
        <w:rPr>
          <w:rFonts w:eastAsia="方正仿宋_GBK" w:hint="eastAsia"/>
        </w:rPr>
        <w:t>11</w:t>
      </w:r>
      <w:r>
        <w:rPr>
          <w:rFonts w:eastAsia="方正仿宋_GBK"/>
        </w:rPr>
        <w:t>月</w:t>
      </w:r>
      <w:r>
        <w:rPr>
          <w:rFonts w:eastAsia="方正仿宋_GBK" w:hint="eastAsia"/>
        </w:rPr>
        <w:t>2</w:t>
      </w:r>
      <w:r>
        <w:rPr>
          <w:rFonts w:eastAsia="方正仿宋_GBK"/>
        </w:rPr>
        <w:t>日</w:t>
      </w:r>
    </w:p>
    <w:p w:rsidR="00E14BBD" w:rsidRDefault="00E14BBD"/>
    <w:p w:rsidR="00D01567" w:rsidRDefault="00D01567"/>
    <w:p w:rsidR="00D01567" w:rsidRDefault="00D01567"/>
    <w:p w:rsidR="00D01567" w:rsidRDefault="00D01567"/>
    <w:p w:rsidR="00D01567" w:rsidRDefault="00D01567"/>
    <w:p w:rsidR="00D01567" w:rsidRDefault="00D01567"/>
    <w:p w:rsidR="00D01567" w:rsidRDefault="00D01567" w:rsidP="00D01567">
      <w:pPr>
        <w:spacing w:line="300" w:lineRule="exact"/>
      </w:pPr>
    </w:p>
    <w:p w:rsidR="00D01567" w:rsidRDefault="00D01567" w:rsidP="00D01567">
      <w:pPr>
        <w:spacing w:line="300" w:lineRule="exact"/>
      </w:pPr>
    </w:p>
    <w:p w:rsidR="00D01567" w:rsidRPr="00F07E94" w:rsidRDefault="00D01567" w:rsidP="00D01567">
      <w:pPr>
        <w:spacing w:line="300" w:lineRule="exact"/>
      </w:pPr>
    </w:p>
    <w:p w:rsidR="00D01567" w:rsidRDefault="00D01567" w:rsidP="00D01567">
      <w:pPr>
        <w:pStyle w:val="a9"/>
        <w:snapToGrid w:val="0"/>
        <w:spacing w:line="100" w:lineRule="exact"/>
        <w:ind w:right="0"/>
        <w:rPr>
          <w:b/>
          <w:noProof/>
        </w:rPr>
      </w:pPr>
    </w:p>
    <w:p w:rsidR="00D01567" w:rsidRDefault="00D01567" w:rsidP="00D01567">
      <w:pPr>
        <w:pStyle w:val="a9"/>
        <w:snapToGrid w:val="0"/>
        <w:spacing w:line="100" w:lineRule="exact"/>
        <w:ind w:right="0"/>
        <w:rPr>
          <w:b/>
          <w:noProof/>
        </w:rPr>
      </w:pPr>
    </w:p>
    <w:p w:rsidR="00D01567" w:rsidRDefault="00D01567" w:rsidP="00D01567">
      <w:pPr>
        <w:pStyle w:val="a9"/>
        <w:snapToGrid w:val="0"/>
        <w:spacing w:line="100" w:lineRule="exact"/>
        <w:ind w:right="0"/>
        <w:rPr>
          <w:b/>
          <w:noProof/>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Default="00D01567" w:rsidP="00D01567">
      <w:pPr>
        <w:spacing w:line="20" w:lineRule="exact"/>
        <w:rPr>
          <w:rFonts w:eastAsia="方正仿宋_GBK"/>
        </w:rPr>
      </w:pPr>
    </w:p>
    <w:p w:rsidR="00D01567" w:rsidRPr="00C0539F" w:rsidRDefault="00D01567" w:rsidP="00D01567">
      <w:pPr>
        <w:spacing w:line="20" w:lineRule="exact"/>
        <w:rPr>
          <w:rFonts w:eastAsia="方正仿宋_GBK"/>
        </w:rPr>
      </w:pPr>
    </w:p>
    <w:p w:rsidR="00D01567" w:rsidRPr="00C0539F" w:rsidRDefault="00D01567" w:rsidP="00D01567">
      <w:pPr>
        <w:pStyle w:val="a9"/>
        <w:snapToGrid w:val="0"/>
        <w:spacing w:line="100" w:lineRule="atLeast"/>
        <w:ind w:left="-57" w:right="-57"/>
        <w:rPr>
          <w:sz w:val="28"/>
          <w:szCs w:val="28"/>
        </w:rPr>
      </w:pPr>
      <w:r w:rsidRPr="00C0539F">
        <w:rPr>
          <w:sz w:val="28"/>
          <w:szCs w:val="28"/>
        </w:rPr>
        <w:object w:dxaOrig="7615" w:dyaOrig="40">
          <v:shape id="_x0000_i1026" type="#_x0000_t75" style="width:442.5pt;height:2.25pt" o:ole="" fillcolor="window">
            <v:imagedata r:id="rId11" o:title=""/>
            <o:lock v:ext="edit" aspectratio="f"/>
          </v:shape>
          <o:OLEObject Type="Embed" ProgID="MSDraw" ShapeID="_x0000_i1026" DrawAspect="Content" ObjectID="_1761049860" r:id="rId12">
            <o:FieldCodes>\* MERGEFORMAT</o:FieldCodes>
          </o:OLEObject>
        </w:object>
      </w:r>
      <w:r>
        <w:rPr>
          <w:rFonts w:hint="eastAsia"/>
          <w:sz w:val="28"/>
          <w:szCs w:val="28"/>
        </w:rPr>
        <w:t xml:space="preserve">  </w:t>
      </w:r>
      <w:r w:rsidRPr="00C0539F">
        <w:rPr>
          <w:sz w:val="28"/>
          <w:szCs w:val="28"/>
        </w:rPr>
        <w:t>南通市交通运输局办公室</w:t>
      </w:r>
      <w:r>
        <w:rPr>
          <w:sz w:val="28"/>
          <w:szCs w:val="28"/>
        </w:rPr>
        <w:t xml:space="preserve">           </w:t>
      </w:r>
      <w:r>
        <w:rPr>
          <w:rFonts w:hint="eastAsia"/>
          <w:sz w:val="28"/>
          <w:szCs w:val="28"/>
        </w:rPr>
        <w:t xml:space="preserve">  </w:t>
      </w:r>
      <w:r>
        <w:rPr>
          <w:sz w:val="28"/>
          <w:szCs w:val="28"/>
        </w:rPr>
        <w:t xml:space="preserve">     </w:t>
      </w:r>
      <w:r>
        <w:rPr>
          <w:rFonts w:hint="eastAsia"/>
          <w:sz w:val="28"/>
          <w:szCs w:val="28"/>
        </w:rPr>
        <w:t xml:space="preserve"> </w:t>
      </w:r>
      <w:r w:rsidRPr="00C0539F">
        <w:rPr>
          <w:sz w:val="28"/>
          <w:szCs w:val="28"/>
        </w:rPr>
        <w:t>20</w:t>
      </w:r>
      <w:r>
        <w:rPr>
          <w:rFonts w:hint="eastAsia"/>
          <w:sz w:val="28"/>
          <w:szCs w:val="28"/>
        </w:rPr>
        <w:t>23</w:t>
      </w:r>
      <w:r w:rsidRPr="00C0539F">
        <w:rPr>
          <w:sz w:val="28"/>
          <w:szCs w:val="28"/>
        </w:rPr>
        <w:t>年</w:t>
      </w:r>
      <w:r>
        <w:rPr>
          <w:rFonts w:hint="eastAsia"/>
          <w:sz w:val="28"/>
          <w:szCs w:val="28"/>
        </w:rPr>
        <w:t>11</w:t>
      </w:r>
      <w:r w:rsidRPr="00C0539F">
        <w:rPr>
          <w:sz w:val="28"/>
          <w:szCs w:val="28"/>
        </w:rPr>
        <w:t>月</w:t>
      </w:r>
      <w:r>
        <w:rPr>
          <w:rFonts w:hint="eastAsia"/>
          <w:sz w:val="28"/>
          <w:szCs w:val="28"/>
        </w:rPr>
        <w:t>9</w:t>
      </w:r>
      <w:r w:rsidRPr="00C0539F">
        <w:rPr>
          <w:sz w:val="28"/>
          <w:szCs w:val="28"/>
        </w:rPr>
        <w:t>日印发</w:t>
      </w:r>
    </w:p>
    <w:p w:rsidR="00D01567" w:rsidRPr="005D19D5" w:rsidRDefault="00D01567" w:rsidP="00D01567">
      <w:pPr>
        <w:pStyle w:val="a9"/>
        <w:snapToGrid w:val="0"/>
        <w:spacing w:line="40" w:lineRule="exact"/>
        <w:ind w:right="0"/>
        <w:rPr>
          <w:b/>
          <w:noProof/>
        </w:rPr>
      </w:pPr>
      <w:r w:rsidRPr="00CC2FA4">
        <w:object w:dxaOrig="7615" w:dyaOrig="40">
          <v:shape id="_x0000_i1027" type="#_x0000_t75" style="width:442.5pt;height:2.25pt" o:ole="" fillcolor="window">
            <v:imagedata r:id="rId11" o:title=""/>
            <o:lock v:ext="edit" aspectratio="f"/>
          </v:shape>
          <o:OLEObject Type="Embed" ProgID="MSDraw" ShapeID="_x0000_i1027" DrawAspect="Content" ObjectID="_1761049861" r:id="rId13">
            <o:FieldCodes>\* MERGEFORMAT</o:FieldCodes>
          </o:OLEObject>
        </w:object>
      </w:r>
    </w:p>
    <w:sectPr w:rsidR="00D01567" w:rsidRPr="005D19D5" w:rsidSect="002A6DDC">
      <w:footerReference w:type="even" r:id="rId14"/>
      <w:footerReference w:type="default" r:id="rId15"/>
      <w:pgSz w:w="11906" w:h="16838" w:code="9"/>
      <w:pgMar w:top="2098" w:right="1474" w:bottom="1985" w:left="1588" w:header="851" w:footer="992" w:gutter="0"/>
      <w:cols w:space="720"/>
      <w:docGrid w:type="lines"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4BBD" w:rsidRDefault="00E14BBD" w:rsidP="00E14BBD">
      <w:r>
        <w:separator/>
      </w:r>
    </w:p>
  </w:endnote>
  <w:endnote w:type="continuationSeparator" w:id="1">
    <w:p w:rsidR="00E14BBD" w:rsidRDefault="00E14BBD" w:rsidP="00E14BB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汉鼎简大宋">
    <w:altName w:val="宋体"/>
    <w:charset w:val="86"/>
    <w:family w:val="modern"/>
    <w:pitch w:val="default"/>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楷体_GBK">
    <w:altName w:val="Microsoft YaHei UI"/>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7914457"/>
      <w:docPartObj>
        <w:docPartGallery w:val="Page Numbers (Bottom of Page)"/>
        <w:docPartUnique/>
      </w:docPartObj>
    </w:sdtPr>
    <w:sdtContent>
      <w:p w:rsidR="00D01567" w:rsidRDefault="00D01567" w:rsidP="00D01567">
        <w:pPr>
          <w:pStyle w:val="a3"/>
          <w:ind w:firstLineChars="50" w:firstLine="90"/>
        </w:pPr>
        <w:r w:rsidRPr="00D01567">
          <w:rPr>
            <w:rFonts w:ascii="Times New Roman" w:cs="Times New Roman"/>
            <w:sz w:val="28"/>
            <w:szCs w:val="28"/>
          </w:rPr>
          <w:t xml:space="preserve">— </w:t>
        </w:r>
        <w:r w:rsidR="00E81DDD" w:rsidRPr="00D01567">
          <w:rPr>
            <w:rFonts w:ascii="Times New Roman" w:cs="Times New Roman"/>
            <w:sz w:val="28"/>
            <w:szCs w:val="28"/>
          </w:rPr>
          <w:fldChar w:fldCharType="begin"/>
        </w:r>
        <w:r w:rsidRPr="00D01567">
          <w:rPr>
            <w:rFonts w:ascii="Times New Roman" w:cs="Times New Roman"/>
            <w:sz w:val="28"/>
            <w:szCs w:val="28"/>
          </w:rPr>
          <w:instrText xml:space="preserve"> PAGE   \* MERGEFORMAT </w:instrText>
        </w:r>
        <w:r w:rsidR="00E81DDD" w:rsidRPr="00D01567">
          <w:rPr>
            <w:rFonts w:ascii="Times New Roman" w:cs="Times New Roman"/>
            <w:sz w:val="28"/>
            <w:szCs w:val="28"/>
          </w:rPr>
          <w:fldChar w:fldCharType="separate"/>
        </w:r>
        <w:r w:rsidR="003A1AF4" w:rsidRPr="003A1AF4">
          <w:rPr>
            <w:rFonts w:ascii="Times New Roman" w:cs="Times New Roman"/>
            <w:noProof/>
            <w:sz w:val="28"/>
            <w:szCs w:val="28"/>
            <w:lang w:val="zh-CN"/>
          </w:rPr>
          <w:t>2</w:t>
        </w:r>
        <w:r w:rsidR="00E81DDD" w:rsidRPr="00D01567">
          <w:rPr>
            <w:rFonts w:ascii="Times New Roman" w:cs="Times New Roman"/>
            <w:sz w:val="28"/>
            <w:szCs w:val="28"/>
          </w:rPr>
          <w:fldChar w:fldCharType="end"/>
        </w:r>
        <w:r w:rsidRPr="00D01567">
          <w:rPr>
            <w:rFonts w:ascii="Times New Roman" w:cs="Times New Roman"/>
            <w:sz w:val="28"/>
            <w:szCs w:val="28"/>
          </w:rPr>
          <w:t xml:space="preserve"> —</w:t>
        </w:r>
      </w:p>
    </w:sdtContent>
  </w:sdt>
  <w:p w:rsidR="00D01567" w:rsidRDefault="00D01567">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7914448"/>
      <w:docPartObj>
        <w:docPartGallery w:val="Page Numbers (Bottom of Page)"/>
        <w:docPartUnique/>
      </w:docPartObj>
    </w:sdtPr>
    <w:sdtContent>
      <w:p w:rsidR="00D01567" w:rsidRDefault="00D01567">
        <w:pPr>
          <w:pStyle w:val="a3"/>
          <w:jc w:val="right"/>
        </w:pPr>
        <w:r w:rsidRPr="00D01567">
          <w:rPr>
            <w:rFonts w:ascii="Times New Roman" w:cs="Times New Roman"/>
            <w:sz w:val="28"/>
            <w:szCs w:val="28"/>
          </w:rPr>
          <w:t xml:space="preserve">— </w:t>
        </w:r>
        <w:r w:rsidR="00E81DDD" w:rsidRPr="00D01567">
          <w:rPr>
            <w:rFonts w:ascii="Times New Roman" w:cs="Times New Roman"/>
            <w:sz w:val="28"/>
            <w:szCs w:val="28"/>
          </w:rPr>
          <w:fldChar w:fldCharType="begin"/>
        </w:r>
        <w:r w:rsidRPr="00D01567">
          <w:rPr>
            <w:rFonts w:ascii="Times New Roman" w:cs="Times New Roman"/>
            <w:sz w:val="28"/>
            <w:szCs w:val="28"/>
          </w:rPr>
          <w:instrText xml:space="preserve"> PAGE   \* MERGEFORMAT </w:instrText>
        </w:r>
        <w:r w:rsidR="00E81DDD" w:rsidRPr="00D01567">
          <w:rPr>
            <w:rFonts w:ascii="Times New Roman" w:cs="Times New Roman"/>
            <w:sz w:val="28"/>
            <w:szCs w:val="28"/>
          </w:rPr>
          <w:fldChar w:fldCharType="separate"/>
        </w:r>
        <w:r w:rsidR="003A1AF4" w:rsidRPr="003A1AF4">
          <w:rPr>
            <w:rFonts w:ascii="Times New Roman" w:cs="Times New Roman"/>
            <w:noProof/>
            <w:sz w:val="28"/>
            <w:szCs w:val="28"/>
            <w:lang w:val="zh-CN"/>
          </w:rPr>
          <w:t>1</w:t>
        </w:r>
        <w:r w:rsidR="00E81DDD" w:rsidRPr="00D01567">
          <w:rPr>
            <w:rFonts w:ascii="Times New Roman" w:cs="Times New Roman"/>
            <w:sz w:val="28"/>
            <w:szCs w:val="28"/>
          </w:rPr>
          <w:fldChar w:fldCharType="end"/>
        </w:r>
        <w:r w:rsidRPr="00D01567">
          <w:rPr>
            <w:rFonts w:ascii="Times New Roman" w:cs="Times New Roman"/>
            <w:sz w:val="28"/>
            <w:szCs w:val="28"/>
          </w:rPr>
          <w:t xml:space="preserve"> —</w:t>
        </w:r>
      </w:p>
    </w:sdtContent>
  </w:sdt>
  <w:p w:rsidR="00E14BBD" w:rsidRDefault="00E14BBD">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4BBD" w:rsidRDefault="00E14BBD" w:rsidP="00E14BBD">
      <w:r>
        <w:separator/>
      </w:r>
    </w:p>
  </w:footnote>
  <w:footnote w:type="continuationSeparator" w:id="1">
    <w:p w:rsidR="00E14BBD" w:rsidRDefault="00E14BBD" w:rsidP="00E14BB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ocumentProtection w:edit="forms" w:enforcement="1" w:cryptProviderType="rsaFull" w:cryptAlgorithmClass="hash" w:cryptAlgorithmType="typeAny" w:cryptAlgorithmSid="4" w:cryptSpinCount="50000" w:hash="M1QQPwzHpZ2icY4dQzm1vqlh7hs=" w:salt="IupQZamphotdtYkqv4x7Pg=="/>
  <w:defaultTabStop w:val="420"/>
  <w:evenAndOddHeaders/>
  <w:drawingGridVerticalSpacing w:val="156"/>
  <w:displayHorizontalDrawingGridEvery w:val="0"/>
  <w:displayVerticalDrawingGridEvery w:val="2"/>
  <w:characterSpacingControl w:val="compressPunctuation"/>
  <w:hdrShapeDefaults>
    <o:shapedefaults v:ext="edit" spidmax="2055"/>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144D86CA-8D78-4AAA-9D39-63A6446C329F}" w:val="BlEWab+XpkM8qyh3wcNvGFTZK2Cr0x5inU9QAOPSYeLo=1JVsdug7I4zDm/ftHRj6"/>
    <w:docVar w:name="commondata" w:val="eyJoZGlkIjoiNjY4Yjk1MzgzNmJmODlkMmRlOThkY2MwMDhjMjAzMjAifQ=="/>
    <w:docVar w:name="DocumentID" w:val="{3C8128DC-C4DF-459F-BF6E-9190E2BBD03C}"/>
  </w:docVars>
  <w:rsids>
    <w:rsidRoot w:val="5F020C2F"/>
    <w:rsid w:val="00201133"/>
    <w:rsid w:val="002A6DDC"/>
    <w:rsid w:val="003A1AF4"/>
    <w:rsid w:val="008402F9"/>
    <w:rsid w:val="00A45665"/>
    <w:rsid w:val="00A71498"/>
    <w:rsid w:val="00D01567"/>
    <w:rsid w:val="00D16049"/>
    <w:rsid w:val="00DC4DFA"/>
    <w:rsid w:val="00E14BBD"/>
    <w:rsid w:val="00E81DDD"/>
    <w:rsid w:val="1AEC6857"/>
    <w:rsid w:val="33F6144D"/>
    <w:rsid w:val="3ED16344"/>
    <w:rsid w:val="40B838E7"/>
    <w:rsid w:val="4E0322F3"/>
    <w:rsid w:val="5F020C2F"/>
    <w:rsid w:val="6DF27FD2"/>
    <w:rsid w:val="793B021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5"/>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qFormat="1"/>
    <w:lsdException w:name="caption" w:semiHidden="1" w:unhideWhenUsed="1" w:qFormat="1"/>
    <w:lsdException w:name="Title" w:qFormat="1"/>
    <w:lsdException w:name="Default Paragraph Font" w:semiHidden="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14BBD"/>
    <w:pPr>
      <w:widowControl w:val="0"/>
      <w:jc w:val="both"/>
    </w:pPr>
    <w:rPr>
      <w:rFonts w:ascii="Times New Roman" w:eastAsia="宋体" w:hAnsi="Times New Roman" w:cs="Times New Roman"/>
      <w:kern w:val="2"/>
      <w:sz w:val="32"/>
      <w:szCs w:val="24"/>
    </w:rPr>
  </w:style>
  <w:style w:type="paragraph" w:styleId="1">
    <w:name w:val="heading 1"/>
    <w:basedOn w:val="a"/>
    <w:next w:val="a"/>
    <w:link w:val="1Char"/>
    <w:qFormat/>
    <w:rsid w:val="00D01567"/>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E14BBD"/>
    <w:pPr>
      <w:tabs>
        <w:tab w:val="center" w:pos="4153"/>
        <w:tab w:val="right" w:pos="8306"/>
      </w:tabs>
      <w:snapToGrid w:val="0"/>
      <w:jc w:val="left"/>
    </w:pPr>
    <w:rPr>
      <w:rFonts w:ascii="方正仿宋_GBK" w:eastAsia="方正仿宋_GBK" w:cs="Arial"/>
      <w:sz w:val="18"/>
      <w:szCs w:val="18"/>
    </w:rPr>
  </w:style>
  <w:style w:type="character" w:styleId="a4">
    <w:name w:val="Hyperlink"/>
    <w:qFormat/>
    <w:rsid w:val="00E14BBD"/>
    <w:rPr>
      <w:color w:val="0000FF"/>
      <w:u w:val="single"/>
    </w:rPr>
  </w:style>
  <w:style w:type="paragraph" w:styleId="a5">
    <w:name w:val="header"/>
    <w:basedOn w:val="a"/>
    <w:link w:val="Char0"/>
    <w:rsid w:val="00D16049"/>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rsid w:val="00D16049"/>
    <w:rPr>
      <w:rFonts w:ascii="Times New Roman" w:eastAsia="宋体" w:hAnsi="Times New Roman" w:cs="Times New Roman"/>
      <w:kern w:val="2"/>
      <w:sz w:val="18"/>
      <w:szCs w:val="18"/>
    </w:rPr>
  </w:style>
  <w:style w:type="character" w:customStyle="1" w:styleId="Char">
    <w:name w:val="页脚 Char"/>
    <w:basedOn w:val="a0"/>
    <w:link w:val="a3"/>
    <w:uiPriority w:val="99"/>
    <w:rsid w:val="002A6DDC"/>
    <w:rPr>
      <w:rFonts w:ascii="方正仿宋_GBK" w:eastAsia="方正仿宋_GBK" w:hAnsi="Times New Roman" w:cs="Arial"/>
      <w:kern w:val="2"/>
      <w:sz w:val="18"/>
      <w:szCs w:val="18"/>
    </w:rPr>
  </w:style>
  <w:style w:type="paragraph" w:customStyle="1" w:styleId="a6">
    <w:name w:val="文头"/>
    <w:basedOn w:val="a"/>
    <w:rsid w:val="00D01567"/>
    <w:pPr>
      <w:tabs>
        <w:tab w:val="left" w:pos="6663"/>
      </w:tabs>
      <w:autoSpaceDE w:val="0"/>
      <w:autoSpaceDN w:val="0"/>
      <w:snapToGrid w:val="0"/>
      <w:spacing w:after="1000" w:line="3100" w:lineRule="atLeast"/>
      <w:ind w:left="511" w:right="227" w:hanging="284"/>
      <w:jc w:val="distribute"/>
    </w:pPr>
    <w:rPr>
      <w:rFonts w:ascii="汉鼎简大宋" w:eastAsia="汉鼎简大宋" w:cs="汉鼎简大宋"/>
      <w:b/>
      <w:bCs/>
      <w:color w:val="FF0000"/>
      <w:w w:val="62"/>
      <w:kern w:val="0"/>
      <w:sz w:val="140"/>
      <w:szCs w:val="140"/>
    </w:rPr>
  </w:style>
  <w:style w:type="paragraph" w:customStyle="1" w:styleId="a7">
    <w:name w:val="紧急程度"/>
    <w:basedOn w:val="a"/>
    <w:rsid w:val="00D01567"/>
    <w:pPr>
      <w:autoSpaceDE w:val="0"/>
      <w:autoSpaceDN w:val="0"/>
      <w:adjustRightInd w:val="0"/>
      <w:spacing w:line="500" w:lineRule="atLeast"/>
      <w:jc w:val="right"/>
    </w:pPr>
    <w:rPr>
      <w:rFonts w:ascii="方正黑体_GBK" w:eastAsia="方正黑体_GBK" w:cs="方正黑体_GBK"/>
      <w:kern w:val="0"/>
      <w:szCs w:val="32"/>
    </w:rPr>
  </w:style>
  <w:style w:type="paragraph" w:customStyle="1" w:styleId="a8">
    <w:name w:val="红线"/>
    <w:basedOn w:val="1"/>
    <w:rsid w:val="00D01567"/>
    <w:pPr>
      <w:keepNext w:val="0"/>
      <w:keepLines w:val="0"/>
      <w:autoSpaceDE w:val="0"/>
      <w:autoSpaceDN w:val="0"/>
      <w:adjustRightInd w:val="0"/>
      <w:spacing w:before="0" w:after="851" w:line="227" w:lineRule="atLeast"/>
      <w:ind w:right="-142"/>
      <w:jc w:val="center"/>
      <w:outlineLvl w:val="9"/>
    </w:pPr>
    <w:rPr>
      <w:rFonts w:ascii="宋体" w:cs="宋体"/>
      <w:kern w:val="0"/>
      <w:sz w:val="10"/>
      <w:szCs w:val="10"/>
    </w:rPr>
  </w:style>
  <w:style w:type="character" w:customStyle="1" w:styleId="1Char">
    <w:name w:val="标题 1 Char"/>
    <w:basedOn w:val="a0"/>
    <w:link w:val="1"/>
    <w:rsid w:val="00D01567"/>
    <w:rPr>
      <w:rFonts w:ascii="Times New Roman" w:eastAsia="宋体" w:hAnsi="Times New Roman" w:cs="Times New Roman"/>
      <w:b/>
      <w:bCs/>
      <w:kern w:val="44"/>
      <w:sz w:val="44"/>
      <w:szCs w:val="44"/>
    </w:rPr>
  </w:style>
  <w:style w:type="paragraph" w:customStyle="1" w:styleId="a9">
    <w:name w:val="线型"/>
    <w:basedOn w:val="a"/>
    <w:qFormat/>
    <w:rsid w:val="00D01567"/>
    <w:pPr>
      <w:autoSpaceDE w:val="0"/>
      <w:autoSpaceDN w:val="0"/>
      <w:adjustRightInd w:val="0"/>
      <w:ind w:right="357"/>
      <w:jc w:val="center"/>
    </w:pPr>
    <w:rPr>
      <w:rFonts w:eastAsia="方正仿宋_GBK"/>
      <w:snapToGrid w:val="0"/>
      <w:kern w:val="0"/>
      <w:sz w:val="21"/>
      <w:szCs w:val="2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oleObject" Target="embeddings/oleObject3.bin"/><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oleObject" Target="embeddings/oleObject2.bin"/><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wmf"/><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control" Target="activeX/activeX1.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footer" Target="footer1.xml"/></Relationships>
</file>

<file path=word/activeX/activeX1.xml><?xml version="1.0" encoding="utf-8"?>
<ax:ocx xmlns:ax="http://schemas.microsoft.com/office/2006/activeX" xmlns:r="http://schemas.openxmlformats.org/officeDocument/2006/relationships" ax:classid="{E531053D-0904-4D26-ABF3-6E07DD308AB0}" ax:persistence="persistPropertyBag">
  <ax:ocxPr ax:name="DoubleBuffered" ax:value="0"/>
  <ax:ocxPr ax:name="Enabled" ax:value="-1"/>
  <ax:ocxPr ax:name="Visible" ax:value="-1"/>
  <ax:ocxPr ax:name="GroupFirst" ax:value="0"/>
  <ax:ocxPr ax:name="GroupIndex" ax:value="0"/>
  <ax:ocxPr ax:name="GroupPass" ax:value=""/>
  <ax:ocxPr ax:name="GroupValue" ax:value=""/>
  <ax:ocxPr ax:name="ISGroup" ax:value="0"/>
  <ax:ocxPr ax:name="PropList" ax:value="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"/>
  <ax:ocxPr ax:name="SelectIndex" ax:value="0"/>
</ax:ocx>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6</Pages>
  <Words>2387</Words>
  <Characters>249</Characters>
  <Application>Microsoft Office Word</Application>
  <DocSecurity>0</DocSecurity>
  <Lines>17</Lines>
  <Paragraphs>33</Paragraphs>
  <ScaleCrop>false</ScaleCrop>
  <Company/>
  <LinksUpToDate>false</LinksUpToDate>
  <CharactersWithSpaces>2603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蚍蜉渡海</dc:creator>
  <cp:lastModifiedBy>朱晓霞</cp:lastModifiedBy>
  <cp:revision>6</cp:revision>
  <cp:lastPrinted>2023-11-08T07:51:00Z</cp:lastPrinted>
  <dcterms:created xsi:type="dcterms:W3CDTF">2023-11-07T01:54:00Z</dcterms:created>
  <dcterms:modified xsi:type="dcterms:W3CDTF">2023-11-09T06:05:00Z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299A19D68C834929AAAA86DEBF23B068_11</vt:lpwstr>
  </property>
</Properties>
</file>