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621D" w:rsidRPr="00CF0BCA" w:rsidRDefault="008A621D" w:rsidP="008A621D">
      <w:pPr>
        <w:pStyle w:val="a5"/>
        <w:shd w:val="clear" w:color="auto" w:fill="FFFFFF"/>
        <w:spacing w:before="0" w:beforeAutospacing="0" w:after="0" w:afterAutospacing="0"/>
        <w:rPr>
          <w:rFonts w:ascii="Times New Roman" w:eastAsia="黑体" w:hAnsi="Times New Roman" w:cs="Times New Roman"/>
          <w:spacing w:val="14"/>
          <w:kern w:val="2"/>
          <w:sz w:val="32"/>
          <w:szCs w:val="32"/>
          <w:shd w:val="clear" w:color="auto" w:fill="FFFFFF"/>
        </w:rPr>
      </w:pPr>
      <w:r w:rsidRPr="00CF0BCA">
        <w:rPr>
          <w:rFonts w:ascii="Times New Roman" w:eastAsia="黑体" w:hAnsi="黑体" w:cs="Times New Roman"/>
          <w:spacing w:val="14"/>
          <w:kern w:val="2"/>
          <w:sz w:val="32"/>
          <w:szCs w:val="32"/>
          <w:shd w:val="clear" w:color="auto" w:fill="FFFFFF"/>
        </w:rPr>
        <w:t>附件</w:t>
      </w:r>
      <w:r w:rsidRPr="00CF0BCA">
        <w:rPr>
          <w:rFonts w:ascii="Times New Roman" w:eastAsia="黑体" w:hAnsi="Times New Roman" w:cs="Times New Roman"/>
          <w:spacing w:val="14"/>
          <w:kern w:val="2"/>
          <w:sz w:val="32"/>
          <w:szCs w:val="32"/>
          <w:shd w:val="clear" w:color="auto" w:fill="FFFFFF"/>
        </w:rPr>
        <w:t>1</w:t>
      </w:r>
    </w:p>
    <w:p w:rsidR="008A621D" w:rsidRDefault="008A621D" w:rsidP="008A621D">
      <w:pPr>
        <w:pStyle w:val="a5"/>
        <w:shd w:val="clear" w:color="auto" w:fill="FFFFFF"/>
        <w:jc w:val="center"/>
        <w:rPr>
          <w:rFonts w:ascii="方正小标宋_GBK" w:eastAsia="方正小标宋_GBK" w:hAnsi="Times New Roman" w:cs="Times New Roman"/>
          <w:spacing w:val="14"/>
          <w:sz w:val="44"/>
          <w:szCs w:val="44"/>
          <w:shd w:val="clear" w:color="auto" w:fill="FFFFFF"/>
        </w:rPr>
      </w:pPr>
      <w:r>
        <w:rPr>
          <w:rFonts w:ascii="方正小标宋_GBK" w:eastAsia="方正小标宋_GBK" w:hAnsi="Times New Roman" w:cs="Times New Roman" w:hint="eastAsia"/>
          <w:spacing w:val="14"/>
          <w:sz w:val="44"/>
          <w:szCs w:val="44"/>
          <w:shd w:val="clear" w:color="auto" w:fill="FFFFFF"/>
        </w:rPr>
        <w:t>内河船舶船名、船籍港标志要求</w:t>
      </w:r>
    </w:p>
    <w:p w:rsidR="008A621D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96"/>
        <w:jc w:val="both"/>
        <w:rPr>
          <w:rFonts w:ascii="Times New Roman" w:eastAsia="方正仿宋_GBK" w:hAnsi="Times New Roman" w:cs="Times New Roman" w:hint="eastAsia"/>
          <w:spacing w:val="14"/>
          <w:kern w:val="2"/>
          <w:sz w:val="32"/>
          <w:szCs w:val="32"/>
          <w:shd w:val="clear" w:color="auto" w:fill="FFFFFF"/>
        </w:rPr>
      </w:pP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黑体" w:eastAsia="黑体" w:hAnsi="黑体" w:cs="Times New Roman"/>
          <w:kern w:val="2"/>
          <w:sz w:val="32"/>
          <w:szCs w:val="32"/>
          <w:shd w:val="clear" w:color="auto" w:fill="FFFFFF"/>
        </w:rPr>
      </w:pPr>
      <w:r w:rsidRPr="007E722C">
        <w:rPr>
          <w:rFonts w:ascii="黑体" w:eastAsia="黑体" w:hAnsi="黑体" w:cs="Times New Roman" w:hint="eastAsia"/>
          <w:kern w:val="2"/>
          <w:sz w:val="32"/>
          <w:szCs w:val="32"/>
          <w:shd w:val="clear" w:color="auto" w:fill="FFFFFF"/>
        </w:rPr>
        <w:t>一、标明位置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）按《船舶登记条例》第三十一条第一款规定，船名应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标明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在船首</w:t>
      </w:r>
      <w:proofErr w:type="gramStart"/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两舷和船尾</w:t>
      </w:r>
      <w:proofErr w:type="gramEnd"/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，船籍港应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  <w:shd w:val="clear" w:color="auto" w:fill="FFFFFF"/>
        </w:rPr>
        <w:t>标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明在船尾船名下方，船名、船籍港下方应标明汉语拼音。船名、船籍港均应标明在船舶满载水线以上。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sz w:val="32"/>
          <w:szCs w:val="32"/>
        </w:rPr>
        <w:t>二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）受船型或者尺寸限制或者靠泊需要，在上述位置标明的船名和船籍港被遮挡的，应当在船上显著位置增标。船名应在靠近船首的舱口围板、驾驶室或船员</w:t>
      </w:r>
      <w:proofErr w:type="gramStart"/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室左右</w:t>
      </w:r>
      <w:proofErr w:type="gramEnd"/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两侧等不易被遮挡的</w:t>
      </w:r>
      <w:r w:rsidRPr="007E722C">
        <w:rPr>
          <w:rStyle w:val="a6"/>
          <w:rFonts w:ascii="Times New Roman" w:eastAsia="方正仿宋_GBK" w:hAnsi="Times New Roman" w:cs="Times New Roman" w:hint="eastAsia"/>
          <w:b w:val="0"/>
          <w:sz w:val="32"/>
          <w:szCs w:val="32"/>
        </w:rPr>
        <w:t>显著位置增标。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船籍港应在靠近船尾的舱口围板、驾驶室或船员</w:t>
      </w:r>
      <w:proofErr w:type="gramStart"/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室左右</w:t>
      </w:r>
      <w:proofErr w:type="gramEnd"/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两侧等不易被遮挡的</w:t>
      </w:r>
      <w:r w:rsidRPr="007E722C">
        <w:rPr>
          <w:rStyle w:val="a6"/>
          <w:rFonts w:ascii="Times New Roman" w:eastAsia="方正仿宋_GBK" w:hAnsi="Times New Roman" w:cs="Times New Roman" w:hint="eastAsia"/>
          <w:b w:val="0"/>
          <w:sz w:val="32"/>
          <w:szCs w:val="32"/>
        </w:rPr>
        <w:t>显著位置增标。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黑体" w:eastAsia="黑体" w:hAnsi="黑体" w:cs="Times New Roman"/>
          <w:bCs/>
          <w:kern w:val="2"/>
          <w:sz w:val="32"/>
          <w:szCs w:val="32"/>
          <w:shd w:val="clear" w:color="auto" w:fill="FFFFFF"/>
        </w:rPr>
      </w:pPr>
      <w:r w:rsidRPr="007E722C">
        <w:rPr>
          <w:rFonts w:ascii="黑体" w:eastAsia="黑体" w:hAnsi="黑体" w:cs="Times New Roman" w:hint="eastAsia"/>
          <w:bCs/>
          <w:kern w:val="2"/>
          <w:sz w:val="32"/>
          <w:szCs w:val="32"/>
          <w:shd w:val="clear" w:color="auto" w:fill="FFFFFF"/>
        </w:rPr>
        <w:t>二、标明方式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）船名、船籍港标志的汉字应为规范的仿宋体，采用凸出或空心钢质字符焊接（非钢质船舶可采用油漆等其他方式）在相应位置。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二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）船首船名横向标写，船尾船名、船籍港在船尾部中央从左到右标写。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）船名、船籍港标志应为白字或黑字，原则上船体漆颜色为暗色则用白字，船体漆颜色为浅色则用黑字。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黑体" w:eastAsia="黑体" w:hAnsi="黑体" w:cs="Times New Roman"/>
          <w:sz w:val="32"/>
          <w:szCs w:val="32"/>
        </w:rPr>
      </w:pPr>
      <w:r w:rsidRPr="007E722C">
        <w:rPr>
          <w:rStyle w:val="a6"/>
          <w:rFonts w:ascii="黑体" w:eastAsia="黑体" w:hAnsi="黑体" w:hint="eastAsia"/>
          <w:b w:val="0"/>
          <w:sz w:val="32"/>
          <w:szCs w:val="32"/>
        </w:rPr>
        <w:lastRenderedPageBreak/>
        <w:t>三、字体大小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3"/>
        <w:jc w:val="both"/>
        <w:rPr>
          <w:rFonts w:ascii="Times New Roman" w:eastAsia="楷体" w:hAnsi="Times New Roman" w:cs="Times New Roman"/>
          <w:b/>
          <w:sz w:val="32"/>
          <w:szCs w:val="32"/>
        </w:rPr>
      </w:pPr>
      <w:r w:rsidRPr="007E722C">
        <w:rPr>
          <w:rFonts w:ascii="Times New Roman" w:eastAsia="楷体" w:hAnsi="楷体" w:cs="Times New Roman"/>
          <w:b/>
          <w:sz w:val="32"/>
          <w:szCs w:val="32"/>
        </w:rPr>
        <w:t>（一）</w:t>
      </w:r>
      <w:r w:rsidRPr="007E722C">
        <w:rPr>
          <w:rStyle w:val="a6"/>
          <w:rFonts w:ascii="Times New Roman" w:eastAsia="楷体" w:hAnsi="楷体" w:cs="Times New Roman"/>
          <w:sz w:val="32"/>
          <w:szCs w:val="32"/>
        </w:rPr>
        <w:t>总吨小于</w:t>
      </w:r>
      <w:r w:rsidRPr="007E722C">
        <w:rPr>
          <w:rStyle w:val="a6"/>
          <w:rFonts w:ascii="Times New Roman" w:eastAsia="楷体" w:hAnsi="Times New Roman" w:cs="Times New Roman"/>
          <w:sz w:val="32"/>
          <w:szCs w:val="32"/>
        </w:rPr>
        <w:t>500</w:t>
      </w:r>
      <w:r w:rsidRPr="007E722C">
        <w:rPr>
          <w:rStyle w:val="a6"/>
          <w:rFonts w:ascii="Times New Roman" w:eastAsia="楷体" w:hAnsi="楷体" w:cs="Times New Roman"/>
          <w:sz w:val="32"/>
          <w:szCs w:val="32"/>
        </w:rPr>
        <w:t>的船舶。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汉字的字高应不小于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180mm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、字宽不小于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120mm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、间隔不小于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12mm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、笔画粗细不小于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18mm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阿拉伯数字的字高应不小于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180mm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、字宽不小于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90mm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、间隔不小于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12mm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、笔画粗细不小于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18mm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汉语拼音位于对应汉字的正下方，与汉字之间行距不小于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30mm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，字母的字高不小于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90 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、字宽不小于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45mm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、间隔不小于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6mm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3"/>
        <w:jc w:val="both"/>
        <w:rPr>
          <w:rFonts w:ascii="Times New Roman" w:eastAsia="楷体" w:hAnsi="Times New Roman" w:cs="Times New Roman"/>
          <w:b/>
          <w:sz w:val="32"/>
          <w:szCs w:val="32"/>
        </w:rPr>
      </w:pPr>
      <w:r w:rsidRPr="007E722C">
        <w:rPr>
          <w:rFonts w:ascii="Times New Roman" w:eastAsia="楷体" w:hAnsi="楷体" w:cs="Times New Roman"/>
          <w:b/>
          <w:sz w:val="32"/>
          <w:szCs w:val="32"/>
        </w:rPr>
        <w:t>（二）</w:t>
      </w:r>
      <w:r w:rsidRPr="007E722C">
        <w:rPr>
          <w:rStyle w:val="a6"/>
          <w:rFonts w:ascii="Times New Roman" w:eastAsia="楷体" w:hAnsi="楷体" w:cs="Times New Roman"/>
          <w:sz w:val="32"/>
          <w:szCs w:val="32"/>
        </w:rPr>
        <w:t>总吨大于等于</w:t>
      </w:r>
      <w:r w:rsidRPr="007E722C">
        <w:rPr>
          <w:rStyle w:val="a6"/>
          <w:rFonts w:ascii="Times New Roman" w:eastAsia="楷体" w:hAnsi="Times New Roman" w:cs="Times New Roman"/>
          <w:sz w:val="32"/>
          <w:szCs w:val="32"/>
        </w:rPr>
        <w:t>500</w:t>
      </w:r>
      <w:r w:rsidRPr="007E722C">
        <w:rPr>
          <w:rStyle w:val="a6"/>
          <w:rFonts w:ascii="Times New Roman" w:eastAsia="楷体" w:hAnsi="楷体" w:cs="Times New Roman"/>
          <w:sz w:val="32"/>
          <w:szCs w:val="32"/>
        </w:rPr>
        <w:t>的船舶。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汉字的字高不小于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300mm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、字宽不小于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300mm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、间隔不小于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20mm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、笔画粗细不小于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25mm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阿拉伯数字的字高不小于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300mm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、字宽不小于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150mm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、间隔不小于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20mm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、笔画粗细不小于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25mm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汉语拼音位于对应汉字的正下方，与汉字之间的行距不小于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50mm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，拼音字母的字高不小于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150 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，字宽不小于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75mm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、间隔不小于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10mm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、笔画粗细不小于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25mm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8A621D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四、船名灯</w:t>
      </w:r>
    </w:p>
    <w:p w:rsidR="008A621D" w:rsidRPr="00FF5542" w:rsidRDefault="008A621D" w:rsidP="008A621D">
      <w:pPr>
        <w:rPr>
          <w:rFonts w:hint="eastAsia"/>
        </w:rPr>
      </w:pPr>
      <w:r w:rsidRPr="007E722C">
        <w:rPr>
          <w:rFonts w:eastAsia="方正仿宋_GBK" w:hint="eastAsia"/>
          <w:szCs w:val="32"/>
        </w:rPr>
        <w:t>船舶应在驾驶室上层建筑顶部</w:t>
      </w:r>
      <w:proofErr w:type="gramStart"/>
      <w:r w:rsidRPr="007E722C">
        <w:rPr>
          <w:rFonts w:eastAsia="方正仿宋_GBK" w:hint="eastAsia"/>
          <w:szCs w:val="32"/>
        </w:rPr>
        <w:t>安装长</w:t>
      </w:r>
      <w:proofErr w:type="gramEnd"/>
      <w:r w:rsidRPr="007E722C">
        <w:rPr>
          <w:rFonts w:eastAsia="方正仿宋_GBK"/>
          <w:szCs w:val="32"/>
        </w:rPr>
        <w:t>×</w:t>
      </w:r>
      <w:r w:rsidRPr="007E722C">
        <w:rPr>
          <w:rFonts w:eastAsia="方正仿宋_GBK" w:hint="eastAsia"/>
          <w:szCs w:val="32"/>
        </w:rPr>
        <w:t>宽不小于</w:t>
      </w:r>
      <w:r w:rsidRPr="007E722C">
        <w:rPr>
          <w:rFonts w:eastAsia="方正仿宋_GBK"/>
          <w:szCs w:val="32"/>
        </w:rPr>
        <w:t>90×60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jc w:val="both"/>
        <w:rPr>
          <w:rFonts w:ascii="Times New Roman" w:eastAsia="方正仿宋_GBK" w:hAnsi="Times New Roman" w:cs="Times New Roman"/>
          <w:b/>
          <w:sz w:val="32"/>
          <w:szCs w:val="32"/>
        </w:rPr>
      </w:pP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厘米双侧显示船名的灯箱（如图</w:t>
      </w:r>
      <w:r w:rsidRPr="007E722C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7E722C">
        <w:rPr>
          <w:rFonts w:ascii="Times New Roman" w:eastAsia="方正仿宋_GBK" w:hAnsi="Times New Roman" w:cs="Times New Roman" w:hint="eastAsia"/>
          <w:sz w:val="32"/>
          <w:szCs w:val="32"/>
        </w:rPr>
        <w:t>），并在夜航时开启。不需要夜航的船舶可免于安装灯箱。</w:t>
      </w:r>
    </w:p>
    <w:p w:rsidR="008A621D" w:rsidRDefault="008A621D" w:rsidP="008A621D">
      <w:pPr>
        <w:ind w:firstLineChars="150" w:firstLine="480"/>
        <w:rPr>
          <w:rFonts w:eastAsia="方正仿宋_GBK"/>
          <w:noProof/>
          <w:spacing w:val="14"/>
          <w:szCs w:val="32"/>
          <w:shd w:val="clear" w:color="auto" w:fill="FFFFFF"/>
        </w:rPr>
      </w:pPr>
      <w:r>
        <w:rPr>
          <w:rFonts w:eastAsia="方正仿宋_GBK"/>
          <w:noProof/>
          <w:snapToGrid/>
          <w:spacing w:val="14"/>
          <w:szCs w:val="32"/>
          <w:shd w:val="clear" w:color="auto" w:fill="FFFFFF"/>
        </w:rPr>
        <w:lastRenderedPageBreak/>
        <w:drawing>
          <wp:inline distT="0" distB="0" distL="0" distR="0">
            <wp:extent cx="4907280" cy="4015740"/>
            <wp:effectExtent l="0" t="0" r="7620" b="3810"/>
            <wp:docPr id="3" name="图片 3" descr="f318ee95c0c83cc4caa1fc73073f35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318ee95c0c83cc4caa1fc73073f35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7280" cy="401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21D" w:rsidRDefault="008A621D" w:rsidP="008A621D">
      <w:pPr>
        <w:ind w:firstLineChars="150" w:firstLine="522"/>
        <w:jc w:val="center"/>
        <w:rPr>
          <w:rFonts w:eastAsia="方正仿宋_GBK"/>
          <w:spacing w:val="14"/>
          <w:szCs w:val="32"/>
          <w:shd w:val="clear" w:color="auto" w:fill="FFFFFF"/>
        </w:rPr>
      </w:pPr>
      <w:r>
        <w:rPr>
          <w:rFonts w:eastAsia="方正仿宋_GBK" w:hint="eastAsia"/>
          <w:spacing w:val="14"/>
          <w:szCs w:val="32"/>
        </w:rPr>
        <w:t>图</w:t>
      </w:r>
      <w:r>
        <w:rPr>
          <w:rFonts w:eastAsia="方正仿宋_GBK"/>
          <w:spacing w:val="14"/>
          <w:szCs w:val="32"/>
        </w:rPr>
        <w:t>3</w:t>
      </w:r>
    </w:p>
    <w:p w:rsidR="008A621D" w:rsidRPr="007E722C" w:rsidRDefault="008A621D" w:rsidP="008A621D">
      <w:pPr>
        <w:pStyle w:val="a5"/>
        <w:shd w:val="clear" w:color="auto" w:fill="FFFFFF"/>
        <w:spacing w:before="0" w:beforeAutospacing="0" w:after="0" w:afterAutospacing="0"/>
        <w:ind w:firstLineChars="200" w:firstLine="640"/>
        <w:jc w:val="both"/>
        <w:rPr>
          <w:rFonts w:ascii="仿宋" w:eastAsia="仿宋" w:hAnsi="仿宋" w:cs="Times New Roman"/>
          <w:sz w:val="32"/>
          <w:szCs w:val="32"/>
        </w:rPr>
      </w:pPr>
      <w:r w:rsidRPr="007E722C">
        <w:rPr>
          <w:rFonts w:ascii="仿宋" w:eastAsia="仿宋" w:hAnsi="仿宋" w:cs="Times New Roman" w:hint="eastAsia"/>
          <w:sz w:val="32"/>
          <w:szCs w:val="32"/>
        </w:rPr>
        <w:t>注意事项：如发现油船、危险化学品船的船名或船籍港标志不规范，可要求其结合最近一次坞内检验在确保安全的情况下进行整改。</w:t>
      </w:r>
    </w:p>
    <w:p w:rsidR="008A621D" w:rsidRDefault="008A621D" w:rsidP="008A621D">
      <w:pPr>
        <w:widowControl/>
        <w:jc w:val="left"/>
        <w:rPr>
          <w:rFonts w:eastAsia="方正仿宋_GBK"/>
          <w:spacing w:val="14"/>
          <w:szCs w:val="32"/>
        </w:rPr>
        <w:sectPr w:rsidR="008A621D" w:rsidSect="005A628F">
          <w:pgSz w:w="11906" w:h="16838"/>
          <w:pgMar w:top="1440" w:right="1800" w:bottom="1440" w:left="1800" w:header="851" w:footer="992" w:gutter="0"/>
          <w:pgNumType w:fmt="numberInDash"/>
          <w:cols w:space="720"/>
          <w:docGrid w:type="lines" w:linePitch="312"/>
        </w:sectPr>
      </w:pPr>
    </w:p>
    <w:p w:rsidR="008A621D" w:rsidRDefault="008A621D" w:rsidP="008A621D">
      <w:pPr>
        <w:widowControl/>
        <w:shd w:val="clear" w:color="auto" w:fill="FFFFFF"/>
        <w:spacing w:after="128"/>
        <w:ind w:firstLine="0"/>
        <w:outlineLvl w:val="1"/>
        <w:rPr>
          <w:rFonts w:eastAsia="方正黑体_GBK"/>
          <w:color w:val="333333"/>
          <w:spacing w:val="5"/>
          <w:szCs w:val="32"/>
        </w:rPr>
      </w:pPr>
      <w:r>
        <w:rPr>
          <w:rFonts w:eastAsia="方正黑体_GBK" w:hint="eastAsia"/>
          <w:color w:val="333333"/>
          <w:spacing w:val="5"/>
          <w:szCs w:val="32"/>
        </w:rPr>
        <w:lastRenderedPageBreak/>
        <w:t>附件</w:t>
      </w:r>
      <w:r>
        <w:rPr>
          <w:rFonts w:eastAsia="方正黑体_GBK"/>
          <w:color w:val="333333"/>
          <w:spacing w:val="5"/>
          <w:szCs w:val="32"/>
        </w:rPr>
        <w:t>2</w:t>
      </w:r>
    </w:p>
    <w:p w:rsidR="008A621D" w:rsidRDefault="008A621D" w:rsidP="008A621D">
      <w:pPr>
        <w:spacing w:line="575" w:lineRule="exact"/>
        <w:jc w:val="center"/>
        <w:rPr>
          <w:rFonts w:ascii="方正小标宋_GBK" w:eastAsia="方正小标宋_GBK"/>
          <w:spacing w:val="14"/>
          <w:sz w:val="44"/>
          <w:szCs w:val="44"/>
        </w:rPr>
      </w:pPr>
      <w:r>
        <w:rPr>
          <w:rFonts w:ascii="方正小标宋_GBK" w:eastAsia="方正小标宋_GBK" w:hint="eastAsia"/>
          <w:spacing w:val="14"/>
          <w:sz w:val="44"/>
          <w:szCs w:val="44"/>
        </w:rPr>
        <w:t>内河油船和危险化学品船外观警示</w:t>
      </w:r>
    </w:p>
    <w:p w:rsidR="008A621D" w:rsidRDefault="008A621D" w:rsidP="008A621D">
      <w:pPr>
        <w:spacing w:line="575" w:lineRule="exact"/>
        <w:jc w:val="center"/>
        <w:rPr>
          <w:rFonts w:ascii="方正小标宋_GBK" w:eastAsia="方正小标宋_GBK" w:hint="eastAsia"/>
          <w:spacing w:val="14"/>
          <w:sz w:val="44"/>
          <w:szCs w:val="44"/>
        </w:rPr>
      </w:pPr>
      <w:r>
        <w:rPr>
          <w:rFonts w:ascii="方正小标宋_GBK" w:eastAsia="方正小标宋_GBK" w:hint="eastAsia"/>
          <w:spacing w:val="14"/>
          <w:sz w:val="44"/>
          <w:szCs w:val="44"/>
        </w:rPr>
        <w:t>标识和标牌要求</w:t>
      </w:r>
    </w:p>
    <w:p w:rsidR="008A621D" w:rsidRDefault="008A621D" w:rsidP="008A621D">
      <w:pPr>
        <w:ind w:firstLineChars="200" w:firstLine="698"/>
        <w:rPr>
          <w:rFonts w:eastAsia="方正仿宋_GBK" w:hint="eastAsia"/>
          <w:b/>
          <w:spacing w:val="14"/>
          <w:szCs w:val="32"/>
        </w:rPr>
      </w:pPr>
    </w:p>
    <w:p w:rsidR="008A621D" w:rsidRPr="007E722C" w:rsidRDefault="008A621D" w:rsidP="008A621D">
      <w:pPr>
        <w:ind w:firstLineChars="200" w:firstLine="640"/>
        <w:rPr>
          <w:rFonts w:eastAsia="方正仿宋_GBK"/>
          <w:szCs w:val="32"/>
        </w:rPr>
      </w:pPr>
      <w:r w:rsidRPr="007E722C">
        <w:rPr>
          <w:rFonts w:eastAsia="方正仿宋_GBK" w:hint="eastAsia"/>
          <w:szCs w:val="32"/>
        </w:rPr>
        <w:t>内河油船和危险化学品船自</w:t>
      </w:r>
      <w:r w:rsidRPr="007E722C">
        <w:rPr>
          <w:rFonts w:eastAsia="方正仿宋_GBK"/>
          <w:szCs w:val="32"/>
          <w:shd w:val="clear" w:color="auto" w:fill="FFFFFF"/>
        </w:rPr>
        <w:t>2021</w:t>
      </w:r>
      <w:r w:rsidRPr="007E722C">
        <w:rPr>
          <w:rFonts w:eastAsia="方正仿宋_GBK" w:hint="eastAsia"/>
          <w:szCs w:val="32"/>
          <w:shd w:val="clear" w:color="auto" w:fill="FFFFFF"/>
        </w:rPr>
        <w:t>年</w:t>
      </w:r>
      <w:r w:rsidRPr="007E722C">
        <w:rPr>
          <w:rFonts w:eastAsia="方正仿宋_GBK"/>
          <w:szCs w:val="32"/>
          <w:shd w:val="clear" w:color="auto" w:fill="FFFFFF"/>
        </w:rPr>
        <w:t>3</w:t>
      </w:r>
      <w:r w:rsidRPr="007E722C">
        <w:rPr>
          <w:rFonts w:eastAsia="方正仿宋_GBK" w:hint="eastAsia"/>
          <w:szCs w:val="32"/>
          <w:shd w:val="clear" w:color="auto" w:fill="FFFFFF"/>
        </w:rPr>
        <w:t>月起</w:t>
      </w:r>
      <w:r w:rsidRPr="007E722C">
        <w:rPr>
          <w:rFonts w:eastAsia="方正仿宋_GBK" w:hint="eastAsia"/>
          <w:szCs w:val="32"/>
        </w:rPr>
        <w:t>结合最近一次</w:t>
      </w:r>
      <w:proofErr w:type="gramStart"/>
      <w:r w:rsidRPr="007E722C">
        <w:rPr>
          <w:rFonts w:eastAsia="方正仿宋_GBK" w:hint="eastAsia"/>
          <w:szCs w:val="32"/>
        </w:rPr>
        <w:t>坞检将</w:t>
      </w:r>
      <w:proofErr w:type="gramEnd"/>
      <w:r w:rsidRPr="007E722C">
        <w:rPr>
          <w:rFonts w:eastAsia="方正仿宋_GBK" w:hint="eastAsia"/>
          <w:szCs w:val="32"/>
        </w:rPr>
        <w:t>船舶满载水线以上的船体外表面统一涂刷橙色警示标识，驾驶室和船员舱室外表面统一涂刷成白色（如图</w:t>
      </w:r>
      <w:r w:rsidRPr="007E722C">
        <w:rPr>
          <w:rFonts w:eastAsia="方正仿宋_GBK"/>
          <w:szCs w:val="32"/>
        </w:rPr>
        <w:t>1</w:t>
      </w:r>
      <w:r w:rsidRPr="007E722C">
        <w:rPr>
          <w:rFonts w:eastAsia="方正仿宋_GBK" w:hint="eastAsia"/>
          <w:szCs w:val="32"/>
        </w:rPr>
        <w:t>），所采用的涂料应具有反光率高、防止紫外线光波照射、防止颜色淡化剥离和抗极强的盐雾、酸碱性能。</w:t>
      </w:r>
    </w:p>
    <w:p w:rsidR="008A621D" w:rsidRDefault="008A621D" w:rsidP="008A621D">
      <w:pPr>
        <w:rPr>
          <w:rFonts w:eastAsia="方正仿宋_GBK"/>
          <w:spacing w:val="14"/>
          <w:szCs w:val="32"/>
        </w:rPr>
      </w:pPr>
      <w:r>
        <w:rPr>
          <w:rFonts w:eastAsia="方正仿宋_GBK"/>
          <w:noProof/>
          <w:snapToGrid/>
        </w:rPr>
        <w:drawing>
          <wp:inline distT="0" distB="0" distL="0" distR="0">
            <wp:extent cx="4663440" cy="3268980"/>
            <wp:effectExtent l="0" t="0" r="3810" b="7620"/>
            <wp:docPr id="2" name="图片 2" descr="微信图片_20201201133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微信图片_2020120113340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3440" cy="3268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21D" w:rsidRDefault="008A621D" w:rsidP="008A621D">
      <w:pPr>
        <w:ind w:firstLineChars="200" w:firstLine="696"/>
        <w:jc w:val="center"/>
        <w:rPr>
          <w:rFonts w:eastAsia="方正仿宋_GBK"/>
          <w:spacing w:val="14"/>
          <w:szCs w:val="32"/>
        </w:rPr>
      </w:pPr>
    </w:p>
    <w:p w:rsidR="008A621D" w:rsidRDefault="008A621D" w:rsidP="008A621D">
      <w:pPr>
        <w:ind w:firstLineChars="200" w:firstLine="696"/>
        <w:jc w:val="center"/>
        <w:rPr>
          <w:rFonts w:eastAsia="方正仿宋_GBK"/>
          <w:spacing w:val="14"/>
          <w:szCs w:val="32"/>
        </w:rPr>
      </w:pPr>
      <w:r>
        <w:rPr>
          <w:rFonts w:eastAsia="方正仿宋_GBK" w:hint="eastAsia"/>
          <w:spacing w:val="14"/>
          <w:szCs w:val="32"/>
        </w:rPr>
        <w:t>图</w:t>
      </w:r>
      <w:r>
        <w:rPr>
          <w:rFonts w:eastAsia="方正仿宋_GBK"/>
          <w:spacing w:val="14"/>
          <w:szCs w:val="32"/>
        </w:rPr>
        <w:t>1</w:t>
      </w:r>
    </w:p>
    <w:p w:rsidR="008A621D" w:rsidRPr="007E722C" w:rsidRDefault="008A621D" w:rsidP="008A621D">
      <w:pPr>
        <w:ind w:firstLineChars="200" w:firstLine="640"/>
        <w:jc w:val="left"/>
        <w:rPr>
          <w:rFonts w:eastAsia="方正仿宋_GBK"/>
          <w:szCs w:val="32"/>
        </w:rPr>
      </w:pPr>
      <w:r w:rsidRPr="007E722C">
        <w:rPr>
          <w:rFonts w:eastAsia="方正仿宋_GBK" w:hint="eastAsia"/>
          <w:szCs w:val="32"/>
        </w:rPr>
        <w:t>对于尚未到最近一次</w:t>
      </w:r>
      <w:proofErr w:type="gramStart"/>
      <w:r w:rsidRPr="007E722C">
        <w:rPr>
          <w:rFonts w:eastAsia="方正仿宋_GBK" w:hint="eastAsia"/>
          <w:szCs w:val="32"/>
        </w:rPr>
        <w:t>坞检期</w:t>
      </w:r>
      <w:proofErr w:type="gramEnd"/>
      <w:r w:rsidRPr="007E722C">
        <w:rPr>
          <w:rFonts w:eastAsia="方正仿宋_GBK" w:hint="eastAsia"/>
          <w:szCs w:val="32"/>
        </w:rPr>
        <w:t>的油船和危险化学品船，采取以下过渡措施：在船舶驾驶室两侧或其他显著位置，用强力双面胶张贴黄色正三角形警示标牌（如图</w:t>
      </w:r>
      <w:r w:rsidRPr="007E722C">
        <w:rPr>
          <w:rFonts w:eastAsia="方正仿宋_GBK"/>
          <w:szCs w:val="32"/>
        </w:rPr>
        <w:t>2</w:t>
      </w:r>
      <w:r w:rsidRPr="007E722C">
        <w:rPr>
          <w:rFonts w:eastAsia="方正仿宋_GBK" w:hint="eastAsia"/>
          <w:szCs w:val="32"/>
        </w:rPr>
        <w:t>）。小于</w:t>
      </w:r>
      <w:r w:rsidRPr="007E722C">
        <w:rPr>
          <w:rFonts w:eastAsia="方正仿宋_GBK"/>
          <w:szCs w:val="32"/>
        </w:rPr>
        <w:t>1000</w:t>
      </w:r>
      <w:r w:rsidRPr="007E722C">
        <w:rPr>
          <w:rFonts w:eastAsia="方正仿宋_GBK" w:hint="eastAsia"/>
          <w:szCs w:val="32"/>
        </w:rPr>
        <w:lastRenderedPageBreak/>
        <w:t>总吨的船舶，正三角形警示标牌边长应不小于</w:t>
      </w:r>
      <w:r w:rsidRPr="007E722C">
        <w:rPr>
          <w:rFonts w:eastAsia="方正仿宋_GBK"/>
          <w:szCs w:val="32"/>
        </w:rPr>
        <w:t>60</w:t>
      </w:r>
      <w:r w:rsidRPr="007E722C">
        <w:rPr>
          <w:rFonts w:eastAsia="方正仿宋_GBK" w:hint="eastAsia"/>
          <w:szCs w:val="32"/>
        </w:rPr>
        <w:t>厘米。总吨大于等于</w:t>
      </w:r>
      <w:r w:rsidRPr="007E722C">
        <w:rPr>
          <w:rFonts w:eastAsia="方正仿宋_GBK"/>
          <w:szCs w:val="32"/>
        </w:rPr>
        <w:t>1000</w:t>
      </w:r>
      <w:r w:rsidRPr="007E722C">
        <w:rPr>
          <w:rFonts w:eastAsia="方正仿宋_GBK" w:hint="eastAsia"/>
          <w:szCs w:val="32"/>
        </w:rPr>
        <w:t>总吨的船舶，正三角形边长应不小于</w:t>
      </w:r>
      <w:r w:rsidRPr="007E722C">
        <w:rPr>
          <w:rFonts w:eastAsia="方正仿宋_GBK"/>
          <w:szCs w:val="32"/>
        </w:rPr>
        <w:t>80</w:t>
      </w:r>
      <w:r w:rsidRPr="007E722C">
        <w:rPr>
          <w:rFonts w:eastAsia="方正仿宋_GBK" w:hint="eastAsia"/>
          <w:szCs w:val="32"/>
        </w:rPr>
        <w:t>厘米。船体外表面已经涂刷警示标识的，可免于张贴。</w:t>
      </w:r>
    </w:p>
    <w:p w:rsidR="008A621D" w:rsidRDefault="008A621D" w:rsidP="008A621D">
      <w:pPr>
        <w:ind w:firstLineChars="200" w:firstLine="696"/>
        <w:jc w:val="left"/>
        <w:rPr>
          <w:rFonts w:eastAsia="方正仿宋_GBK"/>
          <w:color w:val="FF0000"/>
          <w:spacing w:val="14"/>
          <w:szCs w:val="32"/>
        </w:rPr>
      </w:pPr>
    </w:p>
    <w:p w:rsidR="008A621D" w:rsidRDefault="008A621D" w:rsidP="008A621D">
      <w:pPr>
        <w:ind w:firstLineChars="195"/>
        <w:jc w:val="center"/>
        <w:rPr>
          <w:rFonts w:eastAsia="方正仿宋_GBK" w:hint="eastAsia"/>
          <w:noProof/>
          <w:color w:val="FF0000"/>
          <w:spacing w:val="14"/>
          <w:szCs w:val="32"/>
        </w:rPr>
      </w:pPr>
      <w:r>
        <w:rPr>
          <w:rFonts w:eastAsia="方正仿宋_GBK"/>
          <w:noProof/>
          <w:snapToGrid/>
          <w:color w:val="FF0000"/>
          <w:spacing w:val="14"/>
          <w:szCs w:val="32"/>
        </w:rPr>
        <w:drawing>
          <wp:inline distT="0" distB="0" distL="0" distR="0">
            <wp:extent cx="3840480" cy="3147060"/>
            <wp:effectExtent l="0" t="0" r="7620" b="0"/>
            <wp:docPr id="1" name="图片 1" descr="aede647a88e4097f0298574b0251b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aede647a88e4097f0298574b0251b0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0480" cy="3147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21D" w:rsidRDefault="008A621D" w:rsidP="008A621D">
      <w:pPr>
        <w:ind w:firstLine="0"/>
        <w:rPr>
          <w:rFonts w:eastAsia="方正仿宋_GBK" w:hint="eastAsia"/>
          <w:noProof/>
          <w:color w:val="FF0000"/>
          <w:spacing w:val="14"/>
          <w:szCs w:val="32"/>
        </w:rPr>
      </w:pPr>
    </w:p>
    <w:p w:rsidR="009B42EC" w:rsidRDefault="007E491A">
      <w:bookmarkStart w:id="0" w:name="_GoBack"/>
      <w:bookmarkEnd w:id="0"/>
    </w:p>
    <w:sectPr w:rsidR="009B42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491A" w:rsidRDefault="007E491A" w:rsidP="008A621D">
      <w:pPr>
        <w:spacing w:line="240" w:lineRule="auto"/>
      </w:pPr>
      <w:r>
        <w:separator/>
      </w:r>
    </w:p>
  </w:endnote>
  <w:endnote w:type="continuationSeparator" w:id="0">
    <w:p w:rsidR="007E491A" w:rsidRDefault="007E491A" w:rsidP="008A621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491A" w:rsidRDefault="007E491A" w:rsidP="008A621D">
      <w:pPr>
        <w:spacing w:line="240" w:lineRule="auto"/>
      </w:pPr>
      <w:r>
        <w:separator/>
      </w:r>
    </w:p>
  </w:footnote>
  <w:footnote w:type="continuationSeparator" w:id="0">
    <w:p w:rsidR="007E491A" w:rsidRDefault="007E491A" w:rsidP="008A621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F82"/>
    <w:rsid w:val="007E491A"/>
    <w:rsid w:val="008A621D"/>
    <w:rsid w:val="00A63DAC"/>
    <w:rsid w:val="00B25A01"/>
    <w:rsid w:val="00F24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621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621D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62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621D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621D"/>
    <w:rPr>
      <w:sz w:val="18"/>
      <w:szCs w:val="18"/>
    </w:rPr>
  </w:style>
  <w:style w:type="paragraph" w:styleId="a5">
    <w:name w:val="Normal (Web)"/>
    <w:basedOn w:val="a"/>
    <w:uiPriority w:val="99"/>
    <w:unhideWhenUsed/>
    <w:rsid w:val="008A621D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character" w:styleId="a6">
    <w:name w:val="Strong"/>
    <w:uiPriority w:val="22"/>
    <w:qFormat/>
    <w:rsid w:val="008A621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621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621D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62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621D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621D"/>
    <w:rPr>
      <w:sz w:val="18"/>
      <w:szCs w:val="18"/>
    </w:rPr>
  </w:style>
  <w:style w:type="paragraph" w:styleId="a5">
    <w:name w:val="Normal (Web)"/>
    <w:basedOn w:val="a"/>
    <w:uiPriority w:val="99"/>
    <w:unhideWhenUsed/>
    <w:rsid w:val="008A621D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character" w:styleId="a6">
    <w:name w:val="Strong"/>
    <w:uiPriority w:val="22"/>
    <w:qFormat/>
    <w:rsid w:val="008A621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184</Words>
  <Characters>1054</Characters>
  <Application>Microsoft Office Word</Application>
  <DocSecurity>0</DocSecurity>
  <Lines>8</Lines>
  <Paragraphs>2</Paragraphs>
  <ScaleCrop>false</ScaleCrop>
  <Company>Microsoft</Company>
  <LinksUpToDate>false</LinksUpToDate>
  <CharactersWithSpaces>1236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2</cp:revision>
  <dcterms:created xsi:type="dcterms:W3CDTF">2021-06-02T11:26:00Z</dcterms:created>
  <dcterms:modified xsi:type="dcterms:W3CDTF">2021-06-02T11:26:00Z</dcterms:modified>
</cp:coreProperties>
</file>