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640"/>
        <w:rPr>
          <w:rFonts w:ascii="仿宋" w:hAnsi="仿宋"/>
        </w:rPr>
      </w:pPr>
    </w:p>
    <w:p>
      <w:pPr>
        <w:pStyle w:val="12"/>
        <w:spacing w:line="800" w:lineRule="exact"/>
        <w:rPr>
          <w:sz w:val="48"/>
          <w:szCs w:val="48"/>
        </w:rPr>
      </w:pPr>
    </w:p>
    <w:p>
      <w:pPr>
        <w:pStyle w:val="12"/>
        <w:rPr>
          <w:rFonts w:ascii="黑体" w:hAnsi="黑体" w:cs="黑体"/>
          <w:b/>
          <w:bCs/>
          <w:sz w:val="44"/>
          <w:szCs w:val="44"/>
        </w:rPr>
      </w:pPr>
    </w:p>
    <w:p>
      <w:pPr>
        <w:pStyle w:val="12"/>
        <w:spacing w:line="240" w:lineRule="auto"/>
        <w:rPr>
          <w:rFonts w:ascii="方正小标宋_GBK" w:hAnsi="方正小标宋_GBK" w:eastAsia="方正小标宋_GBK" w:cs="方正小标宋_GBK"/>
          <w:sz w:val="72"/>
          <w:szCs w:val="72"/>
        </w:rPr>
      </w:pPr>
      <w:r>
        <w:rPr>
          <w:rFonts w:ascii="Times New Roman" w:hAnsi="Times New Roman" w:eastAsia="方正小标宋_GBK" w:cs="Times New Roman"/>
          <w:sz w:val="72"/>
          <w:szCs w:val="72"/>
        </w:rPr>
        <w:t>2023</w:t>
      </w:r>
      <w:r>
        <w:rPr>
          <w:rFonts w:hint="eastAsia" w:ascii="方正小标宋_GBK" w:hAnsi="方正小标宋_GBK" w:eastAsia="方正小标宋_GBK" w:cs="方正小标宋_GBK"/>
          <w:sz w:val="72"/>
          <w:szCs w:val="72"/>
        </w:rPr>
        <w:t>年江苏省城市轨道列车调度员职业技能竞赛</w:t>
      </w:r>
    </w:p>
    <w:p>
      <w:pPr>
        <w:pStyle w:val="12"/>
        <w:spacing w:line="240" w:lineRule="auto"/>
        <w:rPr>
          <w:rFonts w:ascii="方正小标宋_GBK" w:hAnsi="方正小标宋_GBK" w:eastAsia="方正小标宋_GBK" w:cs="方正小标宋_GBK"/>
          <w:sz w:val="72"/>
          <w:szCs w:val="72"/>
        </w:rPr>
      </w:pPr>
      <w:r>
        <w:rPr>
          <w:rFonts w:hint="eastAsia" w:ascii="方正小标宋_GBK" w:hAnsi="方正小标宋_GBK" w:eastAsia="方正小标宋_GBK" w:cs="方正小标宋_GBK"/>
          <w:sz w:val="72"/>
          <w:szCs w:val="72"/>
        </w:rPr>
        <w:t>技术方案</w:t>
      </w:r>
    </w:p>
    <w:p>
      <w:pPr>
        <w:ind w:firstLine="640"/>
      </w:pPr>
    </w:p>
    <w:p>
      <w:pPr>
        <w:ind w:firstLine="640"/>
      </w:pPr>
    </w:p>
    <w:p>
      <w:pPr>
        <w:spacing w:line="800" w:lineRule="exact"/>
        <w:ind w:left="839" w:firstLine="1280" w:firstLineChars="400"/>
        <w:rPr>
          <w:rFonts w:ascii="Times New Roman" w:hAnsi="Times New Roman" w:eastAsia="黑体"/>
        </w:rPr>
      </w:pPr>
    </w:p>
    <w:p>
      <w:pPr>
        <w:widowControl/>
        <w:adjustRightInd/>
        <w:snapToGrid/>
        <w:spacing w:line="240" w:lineRule="auto"/>
        <w:ind w:firstLine="0" w:firstLineChars="0"/>
        <w:jc w:val="left"/>
      </w:pPr>
      <w:r>
        <w:br w:type="page"/>
      </w:r>
    </w:p>
    <w:p>
      <w:pPr>
        <w:pStyle w:val="190"/>
        <w:rPr>
          <w:rFonts w:ascii="方正黑体_GBK" w:hAnsi="方正黑体_GBK" w:eastAsia="方正黑体_GBK" w:cs="方正黑体_GBK"/>
          <w:b/>
          <w:bCs/>
        </w:rPr>
        <w:sectPr>
          <w:headerReference r:id="rId7" w:type="first"/>
          <w:footerReference r:id="rId10" w:type="first"/>
          <w:headerReference r:id="rId5" w:type="default"/>
          <w:footerReference r:id="rId8" w:type="default"/>
          <w:headerReference r:id="rId6" w:type="even"/>
          <w:footerReference r:id="rId9" w:type="even"/>
          <w:pgSz w:w="11906" w:h="16838"/>
          <w:pgMar w:top="2098" w:right="1474" w:bottom="1984" w:left="1587" w:header="737" w:footer="567" w:gutter="0"/>
          <w:cols w:space="720" w:num="1"/>
          <w:docGrid w:linePitch="435" w:charSpace="0"/>
        </w:sectPr>
      </w:pPr>
    </w:p>
    <w:p>
      <w:pPr>
        <w:pStyle w:val="59"/>
        <w:spacing w:line="590" w:lineRule="exact"/>
        <w:ind w:firstLine="640"/>
        <w:outlineLvl w:val="0"/>
        <w:rPr>
          <w:rFonts w:ascii="方正黑体_GBK" w:hAnsi="方正黑体_GBK" w:eastAsia="方正黑体_GBK" w:cs="方正黑体_GBK"/>
          <w:bCs/>
          <w:szCs w:val="32"/>
        </w:rPr>
      </w:pPr>
      <w:bookmarkStart w:id="0" w:name="_Toc11821"/>
      <w:r>
        <w:rPr>
          <w:rFonts w:ascii="方正黑体_GBK" w:hAnsi="方正黑体_GBK" w:eastAsia="方正黑体_GBK" w:cs="方正黑体_GBK"/>
          <w:bCs/>
          <w:szCs w:val="32"/>
        </w:rPr>
        <w:t>一、</w:t>
      </w:r>
      <w:r>
        <w:rPr>
          <w:rFonts w:hint="eastAsia" w:ascii="方正黑体_GBK" w:hAnsi="方正黑体_GBK" w:eastAsia="方正黑体_GBK" w:cs="方正黑体_GBK"/>
          <w:bCs/>
          <w:szCs w:val="32"/>
        </w:rPr>
        <w:t>竞赛名称</w:t>
      </w:r>
      <w:bookmarkEnd w:id="0"/>
    </w:p>
    <w:p>
      <w:pPr>
        <w:adjustRightInd/>
        <w:snapToGrid/>
        <w:spacing w:line="590" w:lineRule="exact"/>
        <w:ind w:firstLine="640"/>
        <w:rPr>
          <w:rFonts w:ascii="方正仿宋_GBK" w:hAnsi="方正仿宋_GBK" w:eastAsia="方正仿宋_GBK" w:cs="方正仿宋_GBK"/>
          <w:szCs w:val="32"/>
        </w:rPr>
      </w:pPr>
      <w:r>
        <w:rPr>
          <w:rFonts w:ascii="Times New Roman" w:hAnsi="Times New Roman" w:eastAsia="方正仿宋_GBK" w:cs="Times New Roman"/>
          <w:szCs w:val="32"/>
        </w:rPr>
        <w:t>2023</w:t>
      </w:r>
      <w:r>
        <w:rPr>
          <w:rFonts w:hint="eastAsia" w:ascii="方正仿宋_GBK" w:hAnsi="方正仿宋_GBK" w:eastAsia="方正仿宋_GBK" w:cs="方正仿宋_GBK"/>
          <w:szCs w:val="32"/>
        </w:rPr>
        <w:t>年江苏省城市轨道列车调度员职业技能竞赛。</w:t>
      </w:r>
    </w:p>
    <w:p>
      <w:pPr>
        <w:pStyle w:val="59"/>
        <w:spacing w:line="590" w:lineRule="exact"/>
        <w:ind w:firstLine="640"/>
        <w:outlineLvl w:val="0"/>
        <w:rPr>
          <w:rFonts w:ascii="方正黑体_GBK" w:hAnsi="方正黑体_GBK" w:eastAsia="方正黑体_GBK" w:cs="方正黑体_GBK"/>
          <w:bCs/>
          <w:szCs w:val="32"/>
        </w:rPr>
      </w:pPr>
      <w:bookmarkStart w:id="1" w:name="_Toc13980"/>
      <w:r>
        <w:rPr>
          <w:rFonts w:ascii="方正黑体_GBK" w:hAnsi="方正黑体_GBK" w:eastAsia="方正黑体_GBK" w:cs="方正黑体_GBK"/>
          <w:bCs/>
          <w:szCs w:val="32"/>
        </w:rPr>
        <w:t>二、</w:t>
      </w:r>
      <w:r>
        <w:rPr>
          <w:rFonts w:hint="eastAsia" w:ascii="方正黑体_GBK" w:hAnsi="方正黑体_GBK" w:eastAsia="方正黑体_GBK" w:cs="方正黑体_GBK"/>
          <w:bCs/>
          <w:szCs w:val="32"/>
        </w:rPr>
        <w:t>竞赛</w:t>
      </w:r>
      <w:r>
        <w:rPr>
          <w:rFonts w:ascii="方正黑体_GBK" w:hAnsi="方正黑体_GBK" w:eastAsia="方正黑体_GBK" w:cs="方正黑体_GBK"/>
          <w:bCs/>
          <w:szCs w:val="32"/>
        </w:rPr>
        <w:t>目的</w:t>
      </w:r>
      <w:bookmarkEnd w:id="1"/>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为全面贯彻落实中央和省委人才工作会议精神，推进“十四五”高技能人才发展规划实施，进一步加强江苏省技能人才队伍建设，培育知识型、技能型、创新型劳动大军，搭建全体劳动者成长、成功、成才大舞台，提升竞赛品质、塑造竞赛品牌，促进技能链、人才链与产业链深度融合，经研究，结合江苏技能大奖评选工作，将江苏省百万技能人才技能竞赛岗位练兵活动升级为“江苏工匠”岗位练兵职业技能竞赛活动。</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本次省赛的目的是选拔出具备优良技能水平和综合素质能力强的选手，使参赛选手、裁判等相关人员了解相关职业领域技术、技能发展趋势，促进行业内技能竞赛和技能人才培养工作科学和可持续发展。</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本次省赛竞赛内容</w:t>
      </w:r>
      <w:r>
        <w:rPr>
          <w:rFonts w:ascii="Times New Roman" w:hAnsi="Times New Roman" w:eastAsia="方正仿宋_GBK" w:cs="Times New Roman"/>
          <w:szCs w:val="32"/>
        </w:rPr>
        <w:t>把城市轨道交通行业的真实工作过程、任务和要求融入竞赛环节，重点考查选手的专业技能、操作规范、创新能力，检验参赛选手职业素养和职业技能等综合能力。</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赛项将轨道交通行业人才需求、产业新兴技术、城市轨道交通行车值班员国家职业技能标准融入比赛内容，促进职业院校教学改革和校企合作，引导轨道交通类专业的人才培养模式创新，提高人才培养质量，推动职业教育与社会实际需求融合，进一步提升企事业单位员工及高校教师的专业能力和职业素养。</w:t>
      </w:r>
    </w:p>
    <w:p>
      <w:pPr>
        <w:pStyle w:val="59"/>
        <w:spacing w:line="590" w:lineRule="exact"/>
        <w:ind w:firstLine="640"/>
        <w:outlineLvl w:val="0"/>
        <w:rPr>
          <w:rFonts w:ascii="方正黑体_GBK" w:hAnsi="方正黑体_GBK" w:eastAsia="方正黑体_GBK" w:cs="方正黑体_GBK"/>
          <w:bCs/>
          <w:szCs w:val="32"/>
        </w:rPr>
      </w:pPr>
      <w:bookmarkStart w:id="2" w:name="_Toc26298"/>
      <w:r>
        <w:rPr>
          <w:rFonts w:ascii="方正黑体_GBK" w:hAnsi="方正黑体_GBK" w:eastAsia="方正黑体_GBK" w:cs="方正黑体_GBK"/>
          <w:bCs/>
          <w:szCs w:val="32"/>
        </w:rPr>
        <w:t>三、</w:t>
      </w:r>
      <w:r>
        <w:rPr>
          <w:rFonts w:hint="eastAsia" w:ascii="方正黑体_GBK" w:hAnsi="方正黑体_GBK" w:eastAsia="方正黑体_GBK" w:cs="方正黑体_GBK"/>
          <w:bCs/>
          <w:szCs w:val="32"/>
        </w:rPr>
        <w:t>竞赛方</w:t>
      </w:r>
      <w:r>
        <w:rPr>
          <w:rFonts w:ascii="方正黑体_GBK" w:hAnsi="方正黑体_GBK" w:eastAsia="方正黑体_GBK" w:cs="方正黑体_GBK"/>
          <w:bCs/>
          <w:szCs w:val="32"/>
        </w:rPr>
        <w:t>式</w:t>
      </w:r>
      <w:bookmarkEnd w:id="2"/>
    </w:p>
    <w:p>
      <w:pPr>
        <w:adjustRightInd/>
        <w:snapToGrid/>
        <w:spacing w:line="590" w:lineRule="exact"/>
        <w:ind w:firstLine="643"/>
        <w:rPr>
          <w:rFonts w:ascii="方正楷体_GBK" w:hAnsi="方正楷体_GBK" w:eastAsia="方正楷体_GBK" w:cs="方正楷体_GBK"/>
          <w:b/>
          <w:bCs/>
          <w:szCs w:val="32"/>
        </w:rPr>
      </w:pPr>
      <w:r>
        <w:rPr>
          <w:rFonts w:hint="eastAsia" w:ascii="方正楷体_GBK" w:hAnsi="方正楷体_GBK" w:eastAsia="方正楷体_GBK" w:cs="方正楷体_GBK"/>
          <w:b/>
          <w:bCs/>
          <w:szCs w:val="32"/>
        </w:rPr>
        <w:t>（一）竞赛形式</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线下比赛。</w:t>
      </w:r>
    </w:p>
    <w:p>
      <w:pPr>
        <w:adjustRightInd/>
        <w:snapToGrid/>
        <w:spacing w:line="590" w:lineRule="exact"/>
        <w:ind w:firstLine="643"/>
        <w:rPr>
          <w:rFonts w:ascii="方正楷体_GBK" w:hAnsi="方正楷体_GBK" w:eastAsia="方正楷体_GBK" w:cs="方正楷体_GBK"/>
          <w:b/>
          <w:bCs/>
          <w:szCs w:val="32"/>
        </w:rPr>
      </w:pPr>
      <w:r>
        <w:rPr>
          <w:rFonts w:hint="eastAsia" w:ascii="方正楷体_GBK" w:hAnsi="方正楷体_GBK" w:eastAsia="方正楷体_GBK" w:cs="方正楷体_GBK"/>
          <w:b/>
          <w:bCs/>
          <w:szCs w:val="32"/>
        </w:rPr>
        <w:t>（二）竞赛方式</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本次竞赛参赛对象为企业单位员工，采用单人比赛形式进行。</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1.每支参赛队由3名选手组成。参赛选手需为城市轨道交通集团（公司）的正式职工，岗位为调度员；</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2.每支参赛队以单人完成赛项任务，竞赛总时长为105分钟。其中：理论知识竞赛45分钟（机考），技能操作竞赛60分钟（实操）。</w:t>
      </w:r>
    </w:p>
    <w:p>
      <w:pPr>
        <w:pStyle w:val="59"/>
        <w:spacing w:line="590" w:lineRule="exact"/>
        <w:ind w:firstLine="640"/>
        <w:outlineLvl w:val="0"/>
        <w:rPr>
          <w:rFonts w:ascii="方正黑体_GBK" w:hAnsi="方正黑体_GBK" w:eastAsia="方正黑体_GBK" w:cs="方正黑体_GBK"/>
          <w:bCs/>
          <w:szCs w:val="32"/>
        </w:rPr>
      </w:pPr>
      <w:bookmarkStart w:id="3" w:name="_Toc26772"/>
      <w:r>
        <w:rPr>
          <w:rFonts w:ascii="方正黑体_GBK" w:hAnsi="方正黑体_GBK" w:eastAsia="方正黑体_GBK" w:cs="方正黑体_GBK"/>
          <w:bCs/>
          <w:szCs w:val="32"/>
        </w:rPr>
        <w:t>四、</w:t>
      </w:r>
      <w:r>
        <w:rPr>
          <w:rFonts w:hint="eastAsia" w:ascii="方正黑体_GBK" w:hAnsi="方正黑体_GBK" w:eastAsia="方正黑体_GBK" w:cs="方正黑体_GBK"/>
          <w:bCs/>
          <w:szCs w:val="32"/>
        </w:rPr>
        <w:t>竞赛内容</w:t>
      </w:r>
      <w:bookmarkEnd w:id="3"/>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本赛项由理论考试和实操考试两部分组成。具体内容如下：</w:t>
      </w:r>
    </w:p>
    <w:p>
      <w:pPr>
        <w:adjustRightInd/>
        <w:snapToGrid/>
        <w:spacing w:line="590" w:lineRule="exact"/>
        <w:ind w:firstLine="643"/>
        <w:rPr>
          <w:rFonts w:ascii="方正楷体_GBK" w:hAnsi="方正楷体_GBK" w:eastAsia="方正楷体_GBK" w:cs="方正楷体_GBK"/>
          <w:b/>
          <w:bCs/>
          <w:szCs w:val="32"/>
        </w:rPr>
      </w:pPr>
      <w:bookmarkStart w:id="4" w:name="_Toc8469"/>
      <w:r>
        <w:rPr>
          <w:rFonts w:hint="eastAsia" w:ascii="方正楷体_GBK" w:hAnsi="方正楷体_GBK" w:eastAsia="方正楷体_GBK" w:cs="方正楷体_GBK"/>
          <w:b/>
          <w:bCs/>
          <w:szCs w:val="32"/>
        </w:rPr>
        <w:t>（一）理论考试</w:t>
      </w:r>
      <w:bookmarkEnd w:id="4"/>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本赛项理论竞赛重点考察参赛选手对城市轨道交通法律法规、行业规范、城市轨道交通系统原理等基础理论知识，行车组织、施工和抢险抢修组织、调度运作等专业技能知识，信号、车辆、通信、供电、线路、机电等相关专业设备理论知识的掌握情况。</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1.理论考核项目</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理论题库1500道，</w:t>
      </w:r>
      <w:r>
        <w:rPr>
          <w:rFonts w:hint="eastAsia" w:ascii="Times New Roman" w:hAnsi="Times New Roman" w:eastAsia="方正仿宋_GBK" w:cs="Times New Roman"/>
          <w:b/>
          <w:bCs/>
          <w:color w:val="FF0000"/>
          <w:szCs w:val="32"/>
        </w:rPr>
        <w:t>全部为公开题</w:t>
      </w:r>
      <w:r>
        <w:rPr>
          <w:rFonts w:hint="eastAsia" w:ascii="Times New Roman" w:hAnsi="Times New Roman" w:eastAsia="方正仿宋_GBK" w:cs="Times New Roman"/>
          <w:szCs w:val="32"/>
        </w:rPr>
        <w:t>，题型包括单选题、多选题、判断题。题库结构及题量题型见下表。</w:t>
      </w:r>
    </w:p>
    <w:tbl>
      <w:tblPr>
        <w:tblStyle w:val="31"/>
        <w:tblW w:w="7655" w:type="dxa"/>
        <w:jc w:val="center"/>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 w:type="dxa"/>
          <w:bottom w:w="0" w:type="dxa"/>
          <w:right w:w="10" w:type="dxa"/>
        </w:tblCellMar>
      </w:tblPr>
      <w:tblGrid>
        <w:gridCol w:w="653"/>
        <w:gridCol w:w="1894"/>
        <w:gridCol w:w="932"/>
        <w:gridCol w:w="916"/>
        <w:gridCol w:w="976"/>
        <w:gridCol w:w="860"/>
        <w:gridCol w:w="1424"/>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 w:type="dxa"/>
            <w:bottom w:w="0" w:type="dxa"/>
            <w:right w:w="10" w:type="dxa"/>
          </w:tblCellMar>
        </w:tblPrEx>
        <w:trPr>
          <w:trHeight w:val="450" w:hRule="atLeast"/>
          <w:jc w:val="center"/>
        </w:trPr>
        <w:tc>
          <w:tcPr>
            <w:tcW w:w="653" w:type="dxa"/>
            <w:vMerge w:val="restart"/>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序号</w:t>
            </w:r>
          </w:p>
        </w:tc>
        <w:tc>
          <w:tcPr>
            <w:tcW w:w="2826" w:type="dxa"/>
            <w:gridSpan w:val="2"/>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结构</w:t>
            </w:r>
          </w:p>
        </w:tc>
        <w:tc>
          <w:tcPr>
            <w:tcW w:w="916" w:type="dxa"/>
            <w:vMerge w:val="restart"/>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题量</w:t>
            </w:r>
          </w:p>
        </w:tc>
        <w:tc>
          <w:tcPr>
            <w:tcW w:w="3260" w:type="dxa"/>
            <w:gridSpan w:val="3"/>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题型和题量</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 w:type="dxa"/>
            <w:bottom w:w="0" w:type="dxa"/>
            <w:right w:w="10" w:type="dxa"/>
          </w:tblCellMar>
        </w:tblPrEx>
        <w:trPr>
          <w:trHeight w:val="450" w:hRule="atLeast"/>
          <w:jc w:val="center"/>
        </w:trPr>
        <w:tc>
          <w:tcPr>
            <w:tcW w:w="653" w:type="dxa"/>
            <w:vMerge w:val="continue"/>
            <w:vAlign w:val="center"/>
          </w:tcPr>
          <w:p>
            <w:pPr>
              <w:adjustRightInd/>
              <w:snapToGrid/>
              <w:spacing w:line="240" w:lineRule="auto"/>
              <w:ind w:firstLine="0" w:firstLineChars="0"/>
              <w:jc w:val="center"/>
              <w:rPr>
                <w:rFonts w:ascii="仿宋" w:hAnsi="仿宋" w:cs="微软雅黑"/>
                <w:kern w:val="0"/>
                <w:sz w:val="22"/>
                <w:szCs w:val="20"/>
              </w:rPr>
            </w:pPr>
          </w:p>
        </w:tc>
        <w:tc>
          <w:tcPr>
            <w:tcW w:w="1894" w:type="dxa"/>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内容</w:t>
            </w:r>
          </w:p>
        </w:tc>
        <w:tc>
          <w:tcPr>
            <w:tcW w:w="932" w:type="dxa"/>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比例</w:t>
            </w:r>
          </w:p>
        </w:tc>
        <w:tc>
          <w:tcPr>
            <w:tcW w:w="916" w:type="dxa"/>
            <w:vMerge w:val="continue"/>
            <w:vAlign w:val="center"/>
          </w:tcPr>
          <w:p>
            <w:pPr>
              <w:adjustRightInd/>
              <w:snapToGrid/>
              <w:spacing w:line="240" w:lineRule="auto"/>
              <w:ind w:firstLine="0" w:firstLineChars="0"/>
              <w:jc w:val="center"/>
              <w:rPr>
                <w:rFonts w:ascii="仿宋" w:hAnsi="仿宋" w:cs="微软雅黑"/>
                <w:kern w:val="0"/>
                <w:sz w:val="22"/>
                <w:szCs w:val="20"/>
              </w:rPr>
            </w:pPr>
          </w:p>
        </w:tc>
        <w:tc>
          <w:tcPr>
            <w:tcW w:w="976" w:type="dxa"/>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单选</w:t>
            </w:r>
          </w:p>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（60%）</w:t>
            </w:r>
          </w:p>
        </w:tc>
        <w:tc>
          <w:tcPr>
            <w:tcW w:w="860" w:type="dxa"/>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多选</w:t>
            </w:r>
          </w:p>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（20%）</w:t>
            </w:r>
          </w:p>
        </w:tc>
        <w:tc>
          <w:tcPr>
            <w:tcW w:w="1424" w:type="dxa"/>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判断</w:t>
            </w:r>
          </w:p>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（20%）</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 w:type="dxa"/>
            <w:bottom w:w="0" w:type="dxa"/>
            <w:right w:w="10" w:type="dxa"/>
          </w:tblCellMar>
        </w:tblPrEx>
        <w:trPr>
          <w:trHeight w:val="450" w:hRule="atLeast"/>
          <w:jc w:val="center"/>
        </w:trPr>
        <w:tc>
          <w:tcPr>
            <w:tcW w:w="653" w:type="dxa"/>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1</w:t>
            </w:r>
          </w:p>
        </w:tc>
        <w:tc>
          <w:tcPr>
            <w:tcW w:w="1894" w:type="dxa"/>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基础知识</w:t>
            </w:r>
          </w:p>
        </w:tc>
        <w:tc>
          <w:tcPr>
            <w:tcW w:w="932" w:type="dxa"/>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30%</w:t>
            </w:r>
          </w:p>
        </w:tc>
        <w:tc>
          <w:tcPr>
            <w:tcW w:w="916" w:type="dxa"/>
            <w:vAlign w:val="center"/>
          </w:tcPr>
          <w:p>
            <w:pPr>
              <w:adjustRightInd/>
              <w:snapToGrid/>
              <w:spacing w:line="240" w:lineRule="auto"/>
              <w:ind w:firstLine="0" w:firstLineChars="0"/>
              <w:jc w:val="center"/>
              <w:rPr>
                <w:rFonts w:ascii="仿宋" w:hAnsi="仿宋" w:cs="微软雅黑"/>
                <w:kern w:val="0"/>
                <w:sz w:val="22"/>
                <w:szCs w:val="20"/>
              </w:rPr>
            </w:pPr>
            <w:r>
              <w:rPr>
                <w:color w:val="000000"/>
                <w:sz w:val="22"/>
                <w:szCs w:val="22"/>
              </w:rPr>
              <w:t>450</w:t>
            </w:r>
          </w:p>
        </w:tc>
        <w:tc>
          <w:tcPr>
            <w:tcW w:w="976" w:type="dxa"/>
            <w:vAlign w:val="center"/>
          </w:tcPr>
          <w:p>
            <w:pPr>
              <w:adjustRightInd/>
              <w:snapToGrid/>
              <w:spacing w:line="240" w:lineRule="auto"/>
              <w:ind w:firstLine="0" w:firstLineChars="0"/>
              <w:jc w:val="center"/>
              <w:rPr>
                <w:rFonts w:ascii="仿宋" w:hAnsi="仿宋" w:cs="微软雅黑"/>
                <w:kern w:val="0"/>
                <w:sz w:val="22"/>
                <w:szCs w:val="20"/>
              </w:rPr>
            </w:pPr>
            <w:r>
              <w:rPr>
                <w:color w:val="000000"/>
                <w:sz w:val="22"/>
                <w:szCs w:val="22"/>
              </w:rPr>
              <w:t>270</w:t>
            </w:r>
          </w:p>
        </w:tc>
        <w:tc>
          <w:tcPr>
            <w:tcW w:w="860" w:type="dxa"/>
            <w:vAlign w:val="center"/>
          </w:tcPr>
          <w:p>
            <w:pPr>
              <w:adjustRightInd/>
              <w:snapToGrid/>
              <w:spacing w:line="240" w:lineRule="auto"/>
              <w:ind w:firstLine="0" w:firstLineChars="0"/>
              <w:jc w:val="center"/>
              <w:rPr>
                <w:rFonts w:ascii="仿宋" w:hAnsi="仿宋" w:cs="微软雅黑"/>
                <w:kern w:val="0"/>
                <w:sz w:val="22"/>
                <w:szCs w:val="20"/>
              </w:rPr>
            </w:pPr>
            <w:r>
              <w:rPr>
                <w:color w:val="000000"/>
                <w:sz w:val="22"/>
                <w:szCs w:val="22"/>
              </w:rPr>
              <w:t>90</w:t>
            </w:r>
          </w:p>
        </w:tc>
        <w:tc>
          <w:tcPr>
            <w:tcW w:w="1424" w:type="dxa"/>
            <w:vAlign w:val="center"/>
          </w:tcPr>
          <w:p>
            <w:pPr>
              <w:adjustRightInd/>
              <w:snapToGrid/>
              <w:spacing w:line="240" w:lineRule="auto"/>
              <w:ind w:firstLine="0" w:firstLineChars="0"/>
              <w:jc w:val="center"/>
              <w:rPr>
                <w:rFonts w:ascii="仿宋" w:hAnsi="仿宋" w:cs="微软雅黑"/>
                <w:kern w:val="0"/>
                <w:sz w:val="22"/>
                <w:szCs w:val="20"/>
              </w:rPr>
            </w:pPr>
            <w:r>
              <w:rPr>
                <w:color w:val="000000"/>
                <w:sz w:val="22"/>
                <w:szCs w:val="22"/>
              </w:rPr>
              <w:t>90</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 w:type="dxa"/>
            <w:bottom w:w="0" w:type="dxa"/>
            <w:right w:w="10" w:type="dxa"/>
          </w:tblCellMar>
        </w:tblPrEx>
        <w:trPr>
          <w:trHeight w:val="450" w:hRule="atLeast"/>
          <w:jc w:val="center"/>
        </w:trPr>
        <w:tc>
          <w:tcPr>
            <w:tcW w:w="653" w:type="dxa"/>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2</w:t>
            </w:r>
          </w:p>
        </w:tc>
        <w:tc>
          <w:tcPr>
            <w:tcW w:w="1894" w:type="dxa"/>
            <w:vAlign w:val="center"/>
          </w:tcPr>
          <w:p>
            <w:pPr>
              <w:adjustRightInd/>
              <w:snapToGrid/>
              <w:spacing w:line="240" w:lineRule="auto"/>
              <w:ind w:firstLine="0" w:firstLineChars="0"/>
              <w:jc w:val="center"/>
              <w:rPr>
                <w:rFonts w:ascii="仿宋" w:hAnsi="仿宋" w:cs="微软雅黑"/>
                <w:kern w:val="0"/>
                <w:sz w:val="22"/>
                <w:szCs w:val="20"/>
              </w:rPr>
            </w:pPr>
            <w:r>
              <w:rPr>
                <w:rFonts w:hint="eastAsia" w:ascii="仿宋" w:hAnsi="仿宋" w:cs="微软雅黑"/>
                <w:kern w:val="0"/>
                <w:sz w:val="24"/>
                <w:szCs w:val="20"/>
              </w:rPr>
              <w:t>行车组织</w:t>
            </w:r>
          </w:p>
        </w:tc>
        <w:tc>
          <w:tcPr>
            <w:tcW w:w="932" w:type="dxa"/>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30%</w:t>
            </w:r>
          </w:p>
        </w:tc>
        <w:tc>
          <w:tcPr>
            <w:tcW w:w="916" w:type="dxa"/>
            <w:vAlign w:val="center"/>
          </w:tcPr>
          <w:p>
            <w:pPr>
              <w:adjustRightInd/>
              <w:snapToGrid/>
              <w:spacing w:line="240" w:lineRule="auto"/>
              <w:ind w:firstLine="0" w:firstLineChars="0"/>
              <w:jc w:val="center"/>
              <w:rPr>
                <w:rFonts w:ascii="仿宋" w:hAnsi="仿宋" w:cs="微软雅黑"/>
                <w:kern w:val="0"/>
                <w:sz w:val="22"/>
                <w:szCs w:val="20"/>
              </w:rPr>
            </w:pPr>
            <w:r>
              <w:rPr>
                <w:color w:val="000000"/>
                <w:sz w:val="22"/>
                <w:szCs w:val="22"/>
              </w:rPr>
              <w:t>450</w:t>
            </w:r>
          </w:p>
        </w:tc>
        <w:tc>
          <w:tcPr>
            <w:tcW w:w="976" w:type="dxa"/>
            <w:vAlign w:val="center"/>
          </w:tcPr>
          <w:p>
            <w:pPr>
              <w:adjustRightInd/>
              <w:snapToGrid/>
              <w:spacing w:line="240" w:lineRule="auto"/>
              <w:ind w:firstLine="0" w:firstLineChars="0"/>
              <w:jc w:val="center"/>
              <w:rPr>
                <w:rFonts w:ascii="仿宋" w:hAnsi="仿宋" w:cs="微软雅黑"/>
                <w:kern w:val="0"/>
                <w:sz w:val="22"/>
                <w:szCs w:val="20"/>
              </w:rPr>
            </w:pPr>
            <w:r>
              <w:rPr>
                <w:rFonts w:hint="eastAsia"/>
                <w:sz w:val="22"/>
                <w:szCs w:val="20"/>
              </w:rPr>
              <w:t>2</w:t>
            </w:r>
            <w:r>
              <w:rPr>
                <w:sz w:val="22"/>
                <w:szCs w:val="20"/>
              </w:rPr>
              <w:t>70</w:t>
            </w:r>
          </w:p>
        </w:tc>
        <w:tc>
          <w:tcPr>
            <w:tcW w:w="860" w:type="dxa"/>
            <w:vAlign w:val="center"/>
          </w:tcPr>
          <w:p>
            <w:pPr>
              <w:adjustRightInd/>
              <w:snapToGrid/>
              <w:spacing w:line="240" w:lineRule="auto"/>
              <w:ind w:firstLine="0" w:firstLineChars="0"/>
              <w:jc w:val="center"/>
              <w:rPr>
                <w:rFonts w:ascii="仿宋" w:hAnsi="仿宋" w:cs="微软雅黑"/>
                <w:kern w:val="0"/>
                <w:sz w:val="22"/>
                <w:szCs w:val="20"/>
              </w:rPr>
            </w:pPr>
            <w:r>
              <w:rPr>
                <w:color w:val="000000"/>
                <w:sz w:val="22"/>
                <w:szCs w:val="22"/>
              </w:rPr>
              <w:t>90</w:t>
            </w:r>
          </w:p>
        </w:tc>
        <w:tc>
          <w:tcPr>
            <w:tcW w:w="1424" w:type="dxa"/>
            <w:vAlign w:val="center"/>
          </w:tcPr>
          <w:p>
            <w:pPr>
              <w:adjustRightInd/>
              <w:snapToGrid/>
              <w:spacing w:line="240" w:lineRule="auto"/>
              <w:ind w:firstLine="0" w:firstLineChars="0"/>
              <w:jc w:val="center"/>
              <w:rPr>
                <w:rFonts w:ascii="仿宋" w:hAnsi="仿宋" w:cs="微软雅黑"/>
                <w:kern w:val="0"/>
                <w:sz w:val="22"/>
                <w:szCs w:val="20"/>
              </w:rPr>
            </w:pPr>
            <w:r>
              <w:rPr>
                <w:color w:val="000000"/>
                <w:sz w:val="22"/>
                <w:szCs w:val="22"/>
              </w:rPr>
              <w:t>90</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 w:type="dxa"/>
            <w:bottom w:w="0" w:type="dxa"/>
            <w:right w:w="10" w:type="dxa"/>
          </w:tblCellMar>
        </w:tblPrEx>
        <w:trPr>
          <w:trHeight w:val="450" w:hRule="atLeast"/>
          <w:jc w:val="center"/>
        </w:trPr>
        <w:tc>
          <w:tcPr>
            <w:tcW w:w="653" w:type="dxa"/>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3</w:t>
            </w:r>
          </w:p>
        </w:tc>
        <w:tc>
          <w:tcPr>
            <w:tcW w:w="1894" w:type="dxa"/>
            <w:vAlign w:val="center"/>
          </w:tcPr>
          <w:p>
            <w:pPr>
              <w:adjustRightInd/>
              <w:snapToGrid/>
              <w:spacing w:line="240" w:lineRule="auto"/>
              <w:ind w:firstLine="0" w:firstLineChars="0"/>
              <w:jc w:val="center"/>
              <w:rPr>
                <w:rFonts w:ascii="仿宋" w:hAnsi="仿宋" w:cs="微软雅黑"/>
                <w:kern w:val="0"/>
                <w:sz w:val="22"/>
                <w:szCs w:val="20"/>
              </w:rPr>
            </w:pPr>
            <w:r>
              <w:rPr>
                <w:rFonts w:hint="eastAsia" w:ascii="仿宋" w:hAnsi="仿宋" w:cs="微软雅黑"/>
                <w:kern w:val="0"/>
                <w:sz w:val="24"/>
                <w:szCs w:val="20"/>
              </w:rPr>
              <w:t>运营服务</w:t>
            </w:r>
          </w:p>
        </w:tc>
        <w:tc>
          <w:tcPr>
            <w:tcW w:w="932" w:type="dxa"/>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10%</w:t>
            </w:r>
          </w:p>
        </w:tc>
        <w:tc>
          <w:tcPr>
            <w:tcW w:w="916" w:type="dxa"/>
            <w:vAlign w:val="center"/>
          </w:tcPr>
          <w:p>
            <w:pPr>
              <w:adjustRightInd/>
              <w:snapToGrid/>
              <w:spacing w:line="240" w:lineRule="auto"/>
              <w:ind w:firstLine="0" w:firstLineChars="0"/>
              <w:jc w:val="center"/>
              <w:rPr>
                <w:rFonts w:ascii="仿宋" w:hAnsi="仿宋" w:cs="微软雅黑"/>
                <w:kern w:val="0"/>
                <w:sz w:val="22"/>
                <w:szCs w:val="20"/>
              </w:rPr>
            </w:pPr>
            <w:r>
              <w:rPr>
                <w:color w:val="000000"/>
                <w:sz w:val="22"/>
                <w:szCs w:val="22"/>
              </w:rPr>
              <w:t>150</w:t>
            </w:r>
          </w:p>
        </w:tc>
        <w:tc>
          <w:tcPr>
            <w:tcW w:w="976" w:type="dxa"/>
            <w:vAlign w:val="center"/>
          </w:tcPr>
          <w:p>
            <w:pPr>
              <w:adjustRightInd/>
              <w:snapToGrid/>
              <w:spacing w:line="240" w:lineRule="auto"/>
              <w:ind w:firstLine="0" w:firstLineChars="0"/>
              <w:jc w:val="center"/>
              <w:rPr>
                <w:rFonts w:ascii="仿宋" w:hAnsi="仿宋" w:cs="微软雅黑"/>
                <w:kern w:val="0"/>
                <w:sz w:val="22"/>
                <w:szCs w:val="20"/>
              </w:rPr>
            </w:pPr>
            <w:r>
              <w:rPr>
                <w:color w:val="000000"/>
                <w:sz w:val="22"/>
                <w:szCs w:val="22"/>
              </w:rPr>
              <w:t>90</w:t>
            </w:r>
          </w:p>
        </w:tc>
        <w:tc>
          <w:tcPr>
            <w:tcW w:w="860" w:type="dxa"/>
            <w:vAlign w:val="center"/>
          </w:tcPr>
          <w:p>
            <w:pPr>
              <w:adjustRightInd/>
              <w:snapToGrid/>
              <w:spacing w:line="240" w:lineRule="auto"/>
              <w:ind w:firstLine="0" w:firstLineChars="0"/>
              <w:jc w:val="center"/>
              <w:rPr>
                <w:rFonts w:ascii="仿宋" w:hAnsi="仿宋" w:cs="微软雅黑"/>
                <w:kern w:val="0"/>
                <w:sz w:val="22"/>
                <w:szCs w:val="20"/>
              </w:rPr>
            </w:pPr>
            <w:r>
              <w:rPr>
                <w:color w:val="000000"/>
                <w:sz w:val="22"/>
                <w:szCs w:val="22"/>
              </w:rPr>
              <w:t>30</w:t>
            </w:r>
          </w:p>
        </w:tc>
        <w:tc>
          <w:tcPr>
            <w:tcW w:w="1424" w:type="dxa"/>
            <w:vAlign w:val="center"/>
          </w:tcPr>
          <w:p>
            <w:pPr>
              <w:adjustRightInd/>
              <w:snapToGrid/>
              <w:spacing w:line="240" w:lineRule="auto"/>
              <w:ind w:firstLine="0" w:firstLineChars="0"/>
              <w:jc w:val="center"/>
              <w:rPr>
                <w:rFonts w:ascii="仿宋" w:hAnsi="仿宋" w:cs="微软雅黑"/>
                <w:kern w:val="0"/>
                <w:sz w:val="22"/>
                <w:szCs w:val="20"/>
              </w:rPr>
            </w:pPr>
            <w:r>
              <w:rPr>
                <w:color w:val="000000"/>
                <w:sz w:val="22"/>
                <w:szCs w:val="22"/>
              </w:rPr>
              <w:t>30</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 w:type="dxa"/>
            <w:bottom w:w="0" w:type="dxa"/>
            <w:right w:w="10" w:type="dxa"/>
          </w:tblCellMar>
        </w:tblPrEx>
        <w:trPr>
          <w:trHeight w:val="450" w:hRule="atLeast"/>
          <w:jc w:val="center"/>
        </w:trPr>
        <w:tc>
          <w:tcPr>
            <w:tcW w:w="653" w:type="dxa"/>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4</w:t>
            </w:r>
          </w:p>
        </w:tc>
        <w:tc>
          <w:tcPr>
            <w:tcW w:w="1894" w:type="dxa"/>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施工组织</w:t>
            </w:r>
          </w:p>
        </w:tc>
        <w:tc>
          <w:tcPr>
            <w:tcW w:w="932" w:type="dxa"/>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10%</w:t>
            </w:r>
          </w:p>
        </w:tc>
        <w:tc>
          <w:tcPr>
            <w:tcW w:w="916" w:type="dxa"/>
            <w:vAlign w:val="center"/>
          </w:tcPr>
          <w:p>
            <w:pPr>
              <w:adjustRightInd/>
              <w:snapToGrid/>
              <w:spacing w:line="240" w:lineRule="auto"/>
              <w:ind w:firstLine="0" w:firstLineChars="0"/>
              <w:jc w:val="center"/>
              <w:rPr>
                <w:rFonts w:ascii="仿宋" w:hAnsi="仿宋" w:cs="微软雅黑"/>
                <w:kern w:val="0"/>
                <w:sz w:val="22"/>
                <w:szCs w:val="20"/>
              </w:rPr>
            </w:pPr>
            <w:r>
              <w:rPr>
                <w:color w:val="000000"/>
                <w:sz w:val="22"/>
                <w:szCs w:val="22"/>
              </w:rPr>
              <w:t>150</w:t>
            </w:r>
          </w:p>
        </w:tc>
        <w:tc>
          <w:tcPr>
            <w:tcW w:w="976" w:type="dxa"/>
            <w:vAlign w:val="center"/>
          </w:tcPr>
          <w:p>
            <w:pPr>
              <w:adjustRightInd/>
              <w:snapToGrid/>
              <w:spacing w:line="240" w:lineRule="auto"/>
              <w:ind w:firstLine="0" w:firstLineChars="0"/>
              <w:jc w:val="center"/>
              <w:rPr>
                <w:rFonts w:ascii="仿宋" w:hAnsi="仿宋" w:cs="微软雅黑"/>
                <w:kern w:val="0"/>
                <w:sz w:val="22"/>
                <w:szCs w:val="20"/>
              </w:rPr>
            </w:pPr>
            <w:r>
              <w:rPr>
                <w:color w:val="000000"/>
                <w:sz w:val="22"/>
                <w:szCs w:val="22"/>
              </w:rPr>
              <w:t>90</w:t>
            </w:r>
          </w:p>
        </w:tc>
        <w:tc>
          <w:tcPr>
            <w:tcW w:w="860" w:type="dxa"/>
            <w:vAlign w:val="center"/>
          </w:tcPr>
          <w:p>
            <w:pPr>
              <w:adjustRightInd/>
              <w:snapToGrid/>
              <w:spacing w:line="240" w:lineRule="auto"/>
              <w:ind w:firstLine="0" w:firstLineChars="0"/>
              <w:jc w:val="center"/>
              <w:rPr>
                <w:rFonts w:ascii="仿宋" w:hAnsi="仿宋" w:cs="微软雅黑"/>
                <w:kern w:val="0"/>
                <w:sz w:val="22"/>
                <w:szCs w:val="20"/>
              </w:rPr>
            </w:pPr>
            <w:r>
              <w:rPr>
                <w:color w:val="000000"/>
                <w:sz w:val="22"/>
                <w:szCs w:val="22"/>
              </w:rPr>
              <w:t>30</w:t>
            </w:r>
          </w:p>
        </w:tc>
        <w:tc>
          <w:tcPr>
            <w:tcW w:w="1424" w:type="dxa"/>
            <w:vAlign w:val="center"/>
          </w:tcPr>
          <w:p>
            <w:pPr>
              <w:adjustRightInd/>
              <w:snapToGrid/>
              <w:spacing w:line="240" w:lineRule="auto"/>
              <w:ind w:firstLine="0" w:firstLineChars="0"/>
              <w:jc w:val="center"/>
              <w:rPr>
                <w:rFonts w:ascii="仿宋" w:hAnsi="仿宋" w:cs="微软雅黑"/>
                <w:kern w:val="0"/>
                <w:sz w:val="22"/>
                <w:szCs w:val="20"/>
              </w:rPr>
            </w:pPr>
            <w:r>
              <w:rPr>
                <w:color w:val="000000"/>
                <w:sz w:val="22"/>
                <w:szCs w:val="22"/>
              </w:rPr>
              <w:t>30</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 w:type="dxa"/>
            <w:bottom w:w="0" w:type="dxa"/>
            <w:right w:w="10" w:type="dxa"/>
          </w:tblCellMar>
        </w:tblPrEx>
        <w:trPr>
          <w:trHeight w:val="450" w:hRule="atLeast"/>
          <w:jc w:val="center"/>
        </w:trPr>
        <w:tc>
          <w:tcPr>
            <w:tcW w:w="653" w:type="dxa"/>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5</w:t>
            </w:r>
          </w:p>
        </w:tc>
        <w:tc>
          <w:tcPr>
            <w:tcW w:w="1894" w:type="dxa"/>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应急</w:t>
            </w:r>
            <w:r>
              <w:rPr>
                <w:rFonts w:hint="eastAsia" w:ascii="仿宋" w:hAnsi="仿宋" w:cs="微软雅黑"/>
                <w:kern w:val="0"/>
                <w:sz w:val="24"/>
                <w:szCs w:val="20"/>
              </w:rPr>
              <w:t>处置</w:t>
            </w:r>
          </w:p>
        </w:tc>
        <w:tc>
          <w:tcPr>
            <w:tcW w:w="932" w:type="dxa"/>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20%</w:t>
            </w:r>
          </w:p>
        </w:tc>
        <w:tc>
          <w:tcPr>
            <w:tcW w:w="916" w:type="dxa"/>
            <w:vAlign w:val="center"/>
          </w:tcPr>
          <w:p>
            <w:pPr>
              <w:adjustRightInd/>
              <w:snapToGrid/>
              <w:spacing w:line="240" w:lineRule="auto"/>
              <w:ind w:firstLine="0" w:firstLineChars="0"/>
              <w:jc w:val="center"/>
              <w:rPr>
                <w:rFonts w:ascii="仿宋" w:hAnsi="仿宋" w:cs="微软雅黑"/>
                <w:kern w:val="0"/>
                <w:sz w:val="22"/>
                <w:szCs w:val="20"/>
              </w:rPr>
            </w:pPr>
            <w:r>
              <w:rPr>
                <w:rFonts w:hint="eastAsia"/>
                <w:sz w:val="22"/>
                <w:szCs w:val="20"/>
              </w:rPr>
              <w:t>3</w:t>
            </w:r>
            <w:r>
              <w:rPr>
                <w:sz w:val="22"/>
                <w:szCs w:val="20"/>
              </w:rPr>
              <w:t>00</w:t>
            </w:r>
          </w:p>
        </w:tc>
        <w:tc>
          <w:tcPr>
            <w:tcW w:w="976" w:type="dxa"/>
            <w:vAlign w:val="center"/>
          </w:tcPr>
          <w:p>
            <w:pPr>
              <w:adjustRightInd/>
              <w:snapToGrid/>
              <w:spacing w:line="240" w:lineRule="auto"/>
              <w:ind w:firstLine="0" w:firstLineChars="0"/>
              <w:jc w:val="center"/>
              <w:rPr>
                <w:rFonts w:ascii="仿宋" w:hAnsi="仿宋" w:cs="微软雅黑"/>
                <w:kern w:val="0"/>
                <w:sz w:val="22"/>
                <w:szCs w:val="20"/>
              </w:rPr>
            </w:pPr>
            <w:r>
              <w:rPr>
                <w:color w:val="000000"/>
                <w:sz w:val="22"/>
                <w:szCs w:val="22"/>
              </w:rPr>
              <w:t>180</w:t>
            </w:r>
          </w:p>
        </w:tc>
        <w:tc>
          <w:tcPr>
            <w:tcW w:w="860" w:type="dxa"/>
            <w:vAlign w:val="center"/>
          </w:tcPr>
          <w:p>
            <w:pPr>
              <w:adjustRightInd/>
              <w:snapToGrid/>
              <w:spacing w:line="240" w:lineRule="auto"/>
              <w:ind w:firstLine="0" w:firstLineChars="0"/>
              <w:jc w:val="center"/>
              <w:rPr>
                <w:rFonts w:ascii="仿宋" w:hAnsi="仿宋" w:cs="微软雅黑"/>
                <w:kern w:val="0"/>
                <w:sz w:val="22"/>
                <w:szCs w:val="20"/>
              </w:rPr>
            </w:pPr>
            <w:r>
              <w:rPr>
                <w:color w:val="000000"/>
                <w:sz w:val="22"/>
                <w:szCs w:val="22"/>
              </w:rPr>
              <w:t>60</w:t>
            </w:r>
          </w:p>
        </w:tc>
        <w:tc>
          <w:tcPr>
            <w:tcW w:w="1424" w:type="dxa"/>
            <w:vAlign w:val="center"/>
          </w:tcPr>
          <w:p>
            <w:pPr>
              <w:adjustRightInd/>
              <w:snapToGrid/>
              <w:spacing w:line="240" w:lineRule="auto"/>
              <w:ind w:firstLine="0" w:firstLineChars="0"/>
              <w:jc w:val="center"/>
              <w:rPr>
                <w:rFonts w:ascii="仿宋" w:hAnsi="仿宋" w:cs="微软雅黑"/>
                <w:kern w:val="0"/>
                <w:sz w:val="22"/>
                <w:szCs w:val="20"/>
              </w:rPr>
            </w:pPr>
            <w:r>
              <w:rPr>
                <w:color w:val="000000"/>
                <w:sz w:val="22"/>
                <w:szCs w:val="22"/>
              </w:rPr>
              <w:t>60</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 w:type="dxa"/>
            <w:bottom w:w="0" w:type="dxa"/>
            <w:right w:w="10" w:type="dxa"/>
          </w:tblCellMar>
        </w:tblPrEx>
        <w:trPr>
          <w:trHeight w:val="450" w:hRule="atLeast"/>
          <w:jc w:val="center"/>
        </w:trPr>
        <w:tc>
          <w:tcPr>
            <w:tcW w:w="2547" w:type="dxa"/>
            <w:gridSpan w:val="2"/>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合计</w:t>
            </w:r>
          </w:p>
        </w:tc>
        <w:tc>
          <w:tcPr>
            <w:tcW w:w="932" w:type="dxa"/>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100%</w:t>
            </w:r>
          </w:p>
        </w:tc>
        <w:tc>
          <w:tcPr>
            <w:tcW w:w="916" w:type="dxa"/>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1500</w:t>
            </w:r>
          </w:p>
        </w:tc>
        <w:tc>
          <w:tcPr>
            <w:tcW w:w="976" w:type="dxa"/>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kern w:val="0"/>
                <w:sz w:val="24"/>
                <w:szCs w:val="20"/>
              </w:rPr>
              <w:t>900</w:t>
            </w:r>
          </w:p>
        </w:tc>
        <w:tc>
          <w:tcPr>
            <w:tcW w:w="860" w:type="dxa"/>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color w:val="000000"/>
                <w:kern w:val="0"/>
                <w:sz w:val="22"/>
                <w:szCs w:val="20"/>
              </w:rPr>
              <w:t>300</w:t>
            </w:r>
          </w:p>
        </w:tc>
        <w:tc>
          <w:tcPr>
            <w:tcW w:w="1424" w:type="dxa"/>
            <w:vAlign w:val="center"/>
          </w:tcPr>
          <w:p>
            <w:pPr>
              <w:adjustRightInd/>
              <w:snapToGrid/>
              <w:spacing w:line="240" w:lineRule="auto"/>
              <w:ind w:firstLine="0" w:firstLineChars="0"/>
              <w:jc w:val="center"/>
              <w:rPr>
                <w:rFonts w:ascii="仿宋" w:hAnsi="仿宋" w:cs="微软雅黑"/>
                <w:kern w:val="0"/>
                <w:sz w:val="22"/>
                <w:szCs w:val="20"/>
              </w:rPr>
            </w:pPr>
            <w:r>
              <w:rPr>
                <w:rFonts w:ascii="仿宋" w:hAnsi="仿宋" w:cs="微软雅黑"/>
                <w:color w:val="000000"/>
                <w:kern w:val="0"/>
                <w:sz w:val="22"/>
                <w:szCs w:val="20"/>
              </w:rPr>
              <w:t>300</w:t>
            </w:r>
          </w:p>
        </w:tc>
      </w:tr>
    </w:tbl>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2.理论考核方式</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计算机依据题库自动生成标准化试卷，共500道试题，满分100分，其中：单选题每题0.2分，共300题；多选题每题0.3分（全部选对得0.3分，错选、漏选等不得分），共100题；判断题每题0.1分，共100题，考试时间为45分钟。</w:t>
      </w:r>
    </w:p>
    <w:p>
      <w:pPr>
        <w:adjustRightInd/>
        <w:snapToGrid/>
        <w:spacing w:line="590" w:lineRule="exact"/>
        <w:ind w:firstLine="643"/>
        <w:rPr>
          <w:rFonts w:ascii="方正楷体_GBK" w:hAnsi="方正楷体_GBK" w:eastAsia="方正楷体_GBK" w:cs="方正楷体_GBK"/>
          <w:b/>
          <w:bCs/>
          <w:szCs w:val="32"/>
        </w:rPr>
      </w:pPr>
      <w:bookmarkStart w:id="5" w:name="_Toc8020"/>
      <w:r>
        <w:rPr>
          <w:rFonts w:hint="eastAsia" w:ascii="方正楷体_GBK" w:hAnsi="方正楷体_GBK" w:eastAsia="方正楷体_GBK" w:cs="方正楷体_GBK"/>
          <w:b/>
          <w:bCs/>
          <w:szCs w:val="32"/>
        </w:rPr>
        <w:t>（二）技能考核</w:t>
      </w:r>
      <w:bookmarkEnd w:id="5"/>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技能考核通过仿真城市轨道交通日常作业及突发事件场景，考察参赛选手信息收集与方案制定、调度命令发布、列车自动监控系统操作、通信系统设备操作4方面的技能以及职业素养和安全意识。</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1.技能考核项目</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技能考核内容分为日常调度指挥工作、突发事件应急处置2个项目，其中突发事件应急处置包含8个主场景和4个副场景。考核内容、分值分配及时间分配，见下表。</w:t>
      </w:r>
    </w:p>
    <w:tbl>
      <w:tblPr>
        <w:tblStyle w:val="197"/>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57" w:type="dxa"/>
          <w:bottom w:w="0" w:type="dxa"/>
          <w:right w:w="57" w:type="dxa"/>
        </w:tblCellMar>
      </w:tblPr>
      <w:tblGrid>
        <w:gridCol w:w="969"/>
        <w:gridCol w:w="1587"/>
        <w:gridCol w:w="2719"/>
        <w:gridCol w:w="777"/>
        <w:gridCol w:w="605"/>
        <w:gridCol w:w="1136"/>
        <w:gridCol w:w="11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12" w:hRule="atLeast"/>
          <w:jc w:val="center"/>
        </w:trPr>
        <w:tc>
          <w:tcPr>
            <w:tcW w:w="541" w:type="pct"/>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宋体" w:hAnsi="宋体" w:eastAsia="宋体"/>
                <w:b/>
                <w:bCs/>
                <w:sz w:val="24"/>
              </w:rPr>
            </w:pPr>
            <w:r>
              <w:rPr>
                <w:rFonts w:hint="eastAsia" w:ascii="宋体" w:hAnsi="宋体" w:eastAsia="宋体"/>
                <w:b/>
                <w:bCs/>
                <w:sz w:val="24"/>
              </w:rPr>
              <w:t>项目</w:t>
            </w:r>
          </w:p>
        </w:tc>
        <w:tc>
          <w:tcPr>
            <w:tcW w:w="2404" w:type="pct"/>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宋体" w:hAnsi="宋体" w:eastAsia="宋体"/>
                <w:b/>
                <w:bCs/>
                <w:sz w:val="24"/>
              </w:rPr>
            </w:pPr>
            <w:r>
              <w:rPr>
                <w:rFonts w:hint="eastAsia" w:ascii="宋体" w:hAnsi="宋体" w:eastAsia="宋体"/>
                <w:b/>
                <w:bCs/>
                <w:sz w:val="24"/>
                <w:lang w:bidi="ar"/>
              </w:rPr>
              <w:t>任务</w:t>
            </w:r>
          </w:p>
        </w:tc>
        <w:tc>
          <w:tcPr>
            <w:tcW w:w="772" w:type="pct"/>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宋体" w:hAnsi="宋体" w:eastAsia="宋体"/>
                <w:b/>
                <w:bCs/>
                <w:sz w:val="24"/>
              </w:rPr>
            </w:pPr>
            <w:r>
              <w:rPr>
                <w:rFonts w:hint="eastAsia" w:ascii="宋体" w:hAnsi="宋体" w:eastAsia="宋体"/>
                <w:b/>
                <w:bCs/>
                <w:sz w:val="24"/>
                <w:lang w:bidi="ar"/>
              </w:rPr>
              <w:t>分值比重</w:t>
            </w:r>
          </w:p>
        </w:tc>
        <w:tc>
          <w:tcPr>
            <w:tcW w:w="634" w:type="pct"/>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宋体" w:hAnsi="宋体" w:eastAsia="宋体"/>
                <w:b/>
                <w:bCs/>
                <w:sz w:val="24"/>
              </w:rPr>
            </w:pPr>
            <w:r>
              <w:rPr>
                <w:rFonts w:hint="eastAsia" w:ascii="宋体" w:hAnsi="宋体" w:eastAsia="宋体"/>
                <w:b/>
                <w:bCs/>
                <w:sz w:val="24"/>
                <w:lang w:bidi="ar"/>
              </w:rPr>
              <w:t>作业时间</w:t>
            </w:r>
          </w:p>
        </w:tc>
        <w:tc>
          <w:tcPr>
            <w:tcW w:w="646" w:type="pct"/>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宋体" w:hAnsi="宋体" w:eastAsia="宋体"/>
                <w:b/>
                <w:bCs/>
                <w:sz w:val="24"/>
              </w:rPr>
            </w:pPr>
            <w:r>
              <w:rPr>
                <w:rFonts w:hint="eastAsia" w:ascii="宋体" w:hAnsi="宋体" w:eastAsia="宋体"/>
                <w:b/>
                <w:bCs/>
                <w:sz w:val="24"/>
                <w:lang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56" w:hRule="atLeast"/>
          <w:jc w:val="center"/>
        </w:trPr>
        <w:tc>
          <w:tcPr>
            <w:tcW w:w="541" w:type="pct"/>
            <w:vMerge w:val="restart"/>
            <w:tcBorders>
              <w:top w:val="nil"/>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日常调度指挥工作</w:t>
            </w:r>
          </w:p>
        </w:tc>
        <w:tc>
          <w:tcPr>
            <w:tcW w:w="2404" w:type="pct"/>
            <w:gridSpan w:val="2"/>
            <w:tcBorders>
              <w:top w:val="single" w:color="auto" w:sz="4" w:space="0"/>
              <w:left w:val="single" w:color="auto" w:sz="4" w:space="0"/>
              <w:bottom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开展运营前检查</w:t>
            </w:r>
          </w:p>
        </w:tc>
        <w:tc>
          <w:tcPr>
            <w:tcW w:w="433" w:type="pct"/>
            <w:tcBorders>
              <w:top w:val="single" w:color="auto" w:sz="4" w:space="0"/>
              <w:left w:val="single" w:color="auto" w:sz="4" w:space="0"/>
              <w:right w:val="single" w:color="auto" w:sz="4" w:space="0"/>
            </w:tcBorders>
            <w:shd w:val="clear" w:color="auto" w:fill="auto"/>
            <w:tcMar>
              <w:top w:w="57" w:type="dxa"/>
              <w:left w:w="28" w:type="dxa"/>
              <w:bottom w:w="0" w:type="dxa"/>
              <w:right w:w="0" w:type="dxa"/>
            </w:tcMar>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5%</w:t>
            </w:r>
          </w:p>
        </w:tc>
        <w:tc>
          <w:tcPr>
            <w:tcW w:w="338" w:type="pct"/>
            <w:vMerge w:val="restart"/>
            <w:tcBorders>
              <w:top w:val="nil"/>
              <w:left w:val="single" w:color="auto" w:sz="4" w:space="0"/>
              <w:right w:val="single" w:color="auto" w:sz="4" w:space="0"/>
            </w:tcBorders>
            <w:shd w:val="clear" w:color="auto" w:fill="auto"/>
            <w:tcMar>
              <w:top w:w="57" w:type="dxa"/>
              <w:left w:w="28" w:type="dxa"/>
              <w:bottom w:w="0" w:type="dxa"/>
            </w:tcMar>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10%</w:t>
            </w:r>
          </w:p>
        </w:tc>
        <w:tc>
          <w:tcPr>
            <w:tcW w:w="634" w:type="pct"/>
            <w:vMerge w:val="restart"/>
            <w:tcBorders>
              <w:top w:val="nil"/>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每项作业5min</w:t>
            </w:r>
          </w:p>
        </w:tc>
        <w:tc>
          <w:tcPr>
            <w:tcW w:w="646" w:type="pct"/>
            <w:vMerge w:val="restart"/>
            <w:tcBorders>
              <w:top w:val="single" w:color="auto" w:sz="4" w:space="0"/>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随机抽取</w:t>
            </w:r>
          </w:p>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4选2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255" w:hRule="atLeast"/>
          <w:jc w:val="center"/>
        </w:trPr>
        <w:tc>
          <w:tcPr>
            <w:tcW w:w="541"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2404" w:type="pct"/>
            <w:gridSpan w:val="2"/>
            <w:tcBorders>
              <w:top w:val="single" w:color="auto" w:sz="4" w:space="0"/>
              <w:left w:val="single" w:color="auto" w:sz="4" w:space="0"/>
              <w:bottom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组织轧道列车出段</w:t>
            </w:r>
          </w:p>
        </w:tc>
        <w:tc>
          <w:tcPr>
            <w:tcW w:w="433" w:type="pct"/>
            <w:tcBorders>
              <w:left w:val="single" w:color="auto" w:sz="4" w:space="0"/>
              <w:bottom w:val="single" w:color="auto" w:sz="4" w:space="0"/>
              <w:right w:val="single" w:color="auto" w:sz="4" w:space="0"/>
            </w:tcBorders>
            <w:shd w:val="clear" w:color="auto" w:fill="auto"/>
            <w:tcMar>
              <w:top w:w="57" w:type="dxa"/>
              <w:left w:w="28" w:type="dxa"/>
              <w:bottom w:w="0" w:type="dxa"/>
              <w:right w:w="0" w:type="dxa"/>
            </w:tcMar>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5%</w:t>
            </w:r>
          </w:p>
        </w:tc>
        <w:tc>
          <w:tcPr>
            <w:tcW w:w="338" w:type="pct"/>
            <w:vMerge w:val="continue"/>
            <w:tcBorders>
              <w:left w:val="single" w:color="auto" w:sz="4" w:space="0"/>
              <w:right w:val="single" w:color="auto" w:sz="4" w:space="0"/>
            </w:tcBorders>
            <w:shd w:val="clear" w:color="auto" w:fill="auto"/>
            <w:tcMar>
              <w:top w:w="57" w:type="dxa"/>
              <w:left w:w="28" w:type="dxa"/>
              <w:bottom w:w="0" w:type="dxa"/>
            </w:tcMar>
            <w:vAlign w:val="center"/>
          </w:tcPr>
          <w:p>
            <w:pPr>
              <w:spacing w:line="240" w:lineRule="auto"/>
              <w:ind w:firstLine="0" w:firstLineChars="0"/>
              <w:jc w:val="center"/>
              <w:rPr>
                <w:rFonts w:ascii="仿宋_GB2312" w:hAnsi="宋体" w:eastAsia="仿宋_GB2312"/>
                <w:bCs/>
                <w:sz w:val="24"/>
                <w:lang w:bidi="ar"/>
              </w:rPr>
            </w:pPr>
          </w:p>
        </w:tc>
        <w:tc>
          <w:tcPr>
            <w:tcW w:w="634"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646"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255" w:hRule="atLeast"/>
          <w:jc w:val="center"/>
        </w:trPr>
        <w:tc>
          <w:tcPr>
            <w:tcW w:w="541"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2404" w:type="pct"/>
            <w:gridSpan w:val="2"/>
            <w:tcBorders>
              <w:top w:val="single" w:color="auto" w:sz="4" w:space="0"/>
              <w:left w:val="single" w:color="auto" w:sz="4" w:space="0"/>
              <w:bottom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组织列车加开</w:t>
            </w:r>
          </w:p>
        </w:tc>
        <w:tc>
          <w:tcPr>
            <w:tcW w:w="433" w:type="pct"/>
            <w:tcBorders>
              <w:left w:val="single" w:color="auto" w:sz="4" w:space="0"/>
              <w:bottom w:val="single" w:color="auto" w:sz="4" w:space="0"/>
              <w:right w:val="single" w:color="auto" w:sz="4" w:space="0"/>
            </w:tcBorders>
            <w:shd w:val="clear" w:color="auto" w:fill="auto"/>
            <w:tcMar>
              <w:top w:w="57" w:type="dxa"/>
              <w:left w:w="28" w:type="dxa"/>
              <w:bottom w:w="0" w:type="dxa"/>
              <w:right w:w="0" w:type="dxa"/>
            </w:tcMar>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5%</w:t>
            </w:r>
          </w:p>
        </w:tc>
        <w:tc>
          <w:tcPr>
            <w:tcW w:w="338" w:type="pct"/>
            <w:vMerge w:val="continue"/>
            <w:tcBorders>
              <w:left w:val="single" w:color="auto" w:sz="4" w:space="0"/>
              <w:right w:val="single" w:color="auto" w:sz="4" w:space="0"/>
            </w:tcBorders>
            <w:shd w:val="clear" w:color="auto" w:fill="auto"/>
            <w:tcMar>
              <w:top w:w="57" w:type="dxa"/>
              <w:left w:w="28" w:type="dxa"/>
              <w:bottom w:w="0" w:type="dxa"/>
            </w:tcMar>
            <w:vAlign w:val="center"/>
          </w:tcPr>
          <w:p>
            <w:pPr>
              <w:spacing w:line="240" w:lineRule="auto"/>
              <w:ind w:firstLine="0" w:firstLineChars="0"/>
              <w:jc w:val="center"/>
              <w:rPr>
                <w:rFonts w:ascii="仿宋_GB2312" w:hAnsi="宋体" w:eastAsia="仿宋_GB2312"/>
                <w:bCs/>
                <w:sz w:val="24"/>
                <w:lang w:bidi="ar"/>
              </w:rPr>
            </w:pPr>
          </w:p>
        </w:tc>
        <w:tc>
          <w:tcPr>
            <w:tcW w:w="634"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646"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255" w:hRule="atLeast"/>
          <w:jc w:val="center"/>
        </w:trPr>
        <w:tc>
          <w:tcPr>
            <w:tcW w:w="541"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2404" w:type="pct"/>
            <w:gridSpan w:val="2"/>
            <w:tcBorders>
              <w:top w:val="single" w:color="auto" w:sz="4" w:space="0"/>
              <w:left w:val="single" w:color="auto" w:sz="4" w:space="0"/>
              <w:bottom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组织备用车替开</w:t>
            </w:r>
          </w:p>
        </w:tc>
        <w:tc>
          <w:tcPr>
            <w:tcW w:w="433" w:type="pct"/>
            <w:tcBorders>
              <w:left w:val="single" w:color="auto" w:sz="4" w:space="0"/>
              <w:bottom w:val="single" w:color="auto" w:sz="4" w:space="0"/>
              <w:right w:val="single" w:color="auto" w:sz="4" w:space="0"/>
            </w:tcBorders>
            <w:shd w:val="clear" w:color="auto" w:fill="auto"/>
            <w:tcMar>
              <w:top w:w="57" w:type="dxa"/>
              <w:left w:w="28" w:type="dxa"/>
              <w:bottom w:w="0" w:type="dxa"/>
              <w:right w:w="0" w:type="dxa"/>
            </w:tcMar>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5%</w:t>
            </w:r>
          </w:p>
        </w:tc>
        <w:tc>
          <w:tcPr>
            <w:tcW w:w="338" w:type="pct"/>
            <w:vMerge w:val="continue"/>
            <w:tcBorders>
              <w:left w:val="single" w:color="auto" w:sz="4" w:space="0"/>
              <w:right w:val="single" w:color="auto" w:sz="4" w:space="0"/>
            </w:tcBorders>
            <w:shd w:val="clear" w:color="auto" w:fill="auto"/>
            <w:tcMar>
              <w:top w:w="57" w:type="dxa"/>
              <w:left w:w="28" w:type="dxa"/>
              <w:bottom w:w="0" w:type="dxa"/>
            </w:tcMar>
            <w:vAlign w:val="center"/>
          </w:tcPr>
          <w:p>
            <w:pPr>
              <w:spacing w:line="240" w:lineRule="auto"/>
              <w:ind w:firstLine="0" w:firstLineChars="0"/>
              <w:jc w:val="center"/>
              <w:rPr>
                <w:rFonts w:ascii="仿宋_GB2312" w:hAnsi="宋体" w:eastAsia="仿宋_GB2312"/>
                <w:bCs/>
                <w:sz w:val="24"/>
                <w:lang w:bidi="ar"/>
              </w:rPr>
            </w:pPr>
          </w:p>
        </w:tc>
        <w:tc>
          <w:tcPr>
            <w:tcW w:w="634"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646"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255" w:hRule="atLeast"/>
          <w:jc w:val="center"/>
        </w:trPr>
        <w:tc>
          <w:tcPr>
            <w:tcW w:w="541" w:type="pct"/>
            <w:vMerge w:val="restart"/>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突发事件应急处置</w:t>
            </w:r>
          </w:p>
        </w:tc>
        <w:tc>
          <w:tcPr>
            <w:tcW w:w="886" w:type="pct"/>
            <w:vMerge w:val="restart"/>
            <w:tcBorders>
              <w:top w:val="single" w:color="auto" w:sz="4" w:space="0"/>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主场景</w:t>
            </w:r>
          </w:p>
        </w:tc>
        <w:tc>
          <w:tcPr>
            <w:tcW w:w="1518" w:type="pct"/>
            <w:tcBorders>
              <w:top w:val="single" w:color="auto" w:sz="4" w:space="0"/>
              <w:left w:val="single" w:color="auto" w:sz="4" w:space="0"/>
              <w:bottom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区域控制器故障应急处置</w:t>
            </w:r>
          </w:p>
        </w:tc>
        <w:tc>
          <w:tcPr>
            <w:tcW w:w="433" w:type="pct"/>
            <w:tcBorders>
              <w:left w:val="single" w:color="auto" w:sz="4" w:space="0"/>
              <w:bottom w:val="single" w:color="auto" w:sz="4" w:space="0"/>
              <w:right w:val="single" w:color="auto" w:sz="4" w:space="0"/>
            </w:tcBorders>
            <w:shd w:val="clear" w:color="auto" w:fill="auto"/>
            <w:tcMar>
              <w:top w:w="57" w:type="dxa"/>
              <w:left w:w="28" w:type="dxa"/>
              <w:bottom w:w="0" w:type="dxa"/>
              <w:right w:w="0" w:type="dxa"/>
            </w:tcMar>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40%</w:t>
            </w:r>
          </w:p>
        </w:tc>
        <w:tc>
          <w:tcPr>
            <w:tcW w:w="338" w:type="pct"/>
            <w:vMerge w:val="restart"/>
            <w:tcBorders>
              <w:left w:val="single" w:color="auto" w:sz="4" w:space="0"/>
              <w:right w:val="single" w:color="auto" w:sz="4" w:space="0"/>
            </w:tcBorders>
            <w:shd w:val="clear" w:color="auto" w:fill="auto"/>
            <w:tcMar>
              <w:top w:w="57" w:type="dxa"/>
              <w:left w:w="28" w:type="dxa"/>
              <w:bottom w:w="0" w:type="dxa"/>
            </w:tcMar>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40%</w:t>
            </w:r>
          </w:p>
        </w:tc>
        <w:tc>
          <w:tcPr>
            <w:tcW w:w="634" w:type="pct"/>
            <w:vMerge w:val="restart"/>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每项作业20min</w:t>
            </w:r>
          </w:p>
        </w:tc>
        <w:tc>
          <w:tcPr>
            <w:tcW w:w="646" w:type="pct"/>
            <w:vMerge w:val="restart"/>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随机抽取</w:t>
            </w:r>
          </w:p>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4选1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255" w:hRule="atLeast"/>
          <w:jc w:val="center"/>
        </w:trPr>
        <w:tc>
          <w:tcPr>
            <w:tcW w:w="541"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886"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1518" w:type="pct"/>
            <w:tcBorders>
              <w:top w:val="single" w:color="auto" w:sz="4" w:space="0"/>
              <w:left w:val="single" w:color="auto" w:sz="4" w:space="0"/>
              <w:bottom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车站站台门故障应急处置</w:t>
            </w:r>
          </w:p>
        </w:tc>
        <w:tc>
          <w:tcPr>
            <w:tcW w:w="433" w:type="pct"/>
            <w:tcBorders>
              <w:left w:val="single" w:color="auto" w:sz="4" w:space="0"/>
              <w:bottom w:val="single" w:color="auto" w:sz="4" w:space="0"/>
              <w:right w:val="single" w:color="auto" w:sz="4" w:space="0"/>
            </w:tcBorders>
            <w:shd w:val="clear" w:color="auto" w:fill="auto"/>
            <w:tcMar>
              <w:top w:w="57" w:type="dxa"/>
              <w:left w:w="28" w:type="dxa"/>
              <w:bottom w:w="0" w:type="dxa"/>
              <w:right w:w="0" w:type="dxa"/>
            </w:tcMar>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40%</w:t>
            </w:r>
          </w:p>
        </w:tc>
        <w:tc>
          <w:tcPr>
            <w:tcW w:w="338" w:type="pct"/>
            <w:vMerge w:val="continue"/>
            <w:tcBorders>
              <w:left w:val="single" w:color="auto" w:sz="4" w:space="0"/>
              <w:right w:val="single" w:color="auto" w:sz="4" w:space="0"/>
            </w:tcBorders>
            <w:shd w:val="clear" w:color="auto" w:fill="auto"/>
            <w:tcMar>
              <w:top w:w="57" w:type="dxa"/>
              <w:left w:w="28" w:type="dxa"/>
              <w:bottom w:w="0" w:type="dxa"/>
            </w:tcMar>
            <w:vAlign w:val="center"/>
          </w:tcPr>
          <w:p>
            <w:pPr>
              <w:spacing w:line="240" w:lineRule="auto"/>
              <w:ind w:firstLine="0" w:firstLineChars="0"/>
              <w:jc w:val="center"/>
              <w:rPr>
                <w:rFonts w:ascii="仿宋_GB2312" w:hAnsi="宋体" w:eastAsia="仿宋_GB2312"/>
                <w:bCs/>
                <w:sz w:val="24"/>
                <w:lang w:bidi="ar"/>
              </w:rPr>
            </w:pPr>
          </w:p>
        </w:tc>
        <w:tc>
          <w:tcPr>
            <w:tcW w:w="634"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646"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255" w:hRule="atLeast"/>
          <w:jc w:val="center"/>
        </w:trPr>
        <w:tc>
          <w:tcPr>
            <w:tcW w:w="541"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886"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1518" w:type="pct"/>
            <w:tcBorders>
              <w:top w:val="single" w:color="auto" w:sz="4" w:space="0"/>
              <w:left w:val="single" w:color="auto" w:sz="4" w:space="0"/>
              <w:bottom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车站突发大客流应急处置</w:t>
            </w:r>
          </w:p>
        </w:tc>
        <w:tc>
          <w:tcPr>
            <w:tcW w:w="433" w:type="pct"/>
            <w:tcBorders>
              <w:left w:val="single" w:color="auto" w:sz="4" w:space="0"/>
              <w:bottom w:val="single" w:color="auto" w:sz="4" w:space="0"/>
              <w:right w:val="single" w:color="auto" w:sz="4" w:space="0"/>
            </w:tcBorders>
            <w:shd w:val="clear" w:color="auto" w:fill="auto"/>
            <w:tcMar>
              <w:top w:w="57" w:type="dxa"/>
              <w:left w:w="28" w:type="dxa"/>
              <w:bottom w:w="0" w:type="dxa"/>
              <w:right w:w="0" w:type="dxa"/>
            </w:tcMar>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40%</w:t>
            </w:r>
          </w:p>
        </w:tc>
        <w:tc>
          <w:tcPr>
            <w:tcW w:w="338" w:type="pct"/>
            <w:vMerge w:val="continue"/>
            <w:tcBorders>
              <w:left w:val="single" w:color="auto" w:sz="4" w:space="0"/>
              <w:right w:val="single" w:color="auto" w:sz="4" w:space="0"/>
            </w:tcBorders>
            <w:shd w:val="clear" w:color="auto" w:fill="auto"/>
            <w:tcMar>
              <w:top w:w="57" w:type="dxa"/>
              <w:left w:w="28" w:type="dxa"/>
              <w:bottom w:w="0" w:type="dxa"/>
            </w:tcMar>
            <w:vAlign w:val="center"/>
          </w:tcPr>
          <w:p>
            <w:pPr>
              <w:spacing w:line="240" w:lineRule="auto"/>
              <w:ind w:firstLine="0" w:firstLineChars="0"/>
              <w:jc w:val="center"/>
              <w:rPr>
                <w:rFonts w:ascii="仿宋_GB2312" w:hAnsi="宋体" w:eastAsia="仿宋_GB2312"/>
                <w:bCs/>
                <w:sz w:val="24"/>
                <w:lang w:bidi="ar"/>
              </w:rPr>
            </w:pPr>
          </w:p>
        </w:tc>
        <w:tc>
          <w:tcPr>
            <w:tcW w:w="634"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646"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255" w:hRule="atLeast"/>
          <w:jc w:val="center"/>
        </w:trPr>
        <w:tc>
          <w:tcPr>
            <w:tcW w:w="541"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886"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1518" w:type="pct"/>
            <w:tcBorders>
              <w:top w:val="single" w:color="auto" w:sz="4" w:space="0"/>
              <w:left w:val="single" w:color="auto" w:sz="4" w:space="0"/>
              <w:bottom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线路下沉应急处置</w:t>
            </w:r>
          </w:p>
        </w:tc>
        <w:tc>
          <w:tcPr>
            <w:tcW w:w="433" w:type="pct"/>
            <w:tcBorders>
              <w:left w:val="single" w:color="auto" w:sz="4" w:space="0"/>
              <w:bottom w:val="single" w:color="auto" w:sz="4" w:space="0"/>
              <w:right w:val="single" w:color="auto" w:sz="4" w:space="0"/>
            </w:tcBorders>
            <w:shd w:val="clear" w:color="auto" w:fill="auto"/>
            <w:tcMar>
              <w:top w:w="57" w:type="dxa"/>
              <w:left w:w="28" w:type="dxa"/>
              <w:bottom w:w="0" w:type="dxa"/>
              <w:right w:w="0" w:type="dxa"/>
            </w:tcMar>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40%</w:t>
            </w:r>
          </w:p>
        </w:tc>
        <w:tc>
          <w:tcPr>
            <w:tcW w:w="338" w:type="pct"/>
            <w:vMerge w:val="continue"/>
            <w:tcBorders>
              <w:left w:val="single" w:color="auto" w:sz="4" w:space="0"/>
              <w:right w:val="single" w:color="auto" w:sz="4" w:space="0"/>
            </w:tcBorders>
            <w:shd w:val="clear" w:color="auto" w:fill="auto"/>
            <w:tcMar>
              <w:top w:w="57" w:type="dxa"/>
              <w:left w:w="28" w:type="dxa"/>
              <w:bottom w:w="0" w:type="dxa"/>
            </w:tcMar>
            <w:vAlign w:val="center"/>
          </w:tcPr>
          <w:p>
            <w:pPr>
              <w:spacing w:line="240" w:lineRule="auto"/>
              <w:ind w:firstLine="0" w:firstLineChars="0"/>
              <w:jc w:val="center"/>
              <w:rPr>
                <w:rFonts w:ascii="仿宋_GB2312" w:hAnsi="宋体" w:eastAsia="仿宋_GB2312"/>
                <w:bCs/>
                <w:sz w:val="24"/>
                <w:lang w:bidi="ar"/>
              </w:rPr>
            </w:pPr>
          </w:p>
        </w:tc>
        <w:tc>
          <w:tcPr>
            <w:tcW w:w="634"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646"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90" w:hRule="atLeast"/>
          <w:jc w:val="center"/>
        </w:trPr>
        <w:tc>
          <w:tcPr>
            <w:tcW w:w="541"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886"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1518" w:type="pct"/>
            <w:tcBorders>
              <w:top w:val="single" w:color="auto" w:sz="4" w:space="0"/>
              <w:left w:val="single" w:color="auto" w:sz="4" w:space="0"/>
              <w:bottom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道岔故障应急处置</w:t>
            </w:r>
          </w:p>
        </w:tc>
        <w:tc>
          <w:tcPr>
            <w:tcW w:w="433" w:type="pct"/>
            <w:tcBorders>
              <w:top w:val="single" w:color="auto" w:sz="4" w:space="0"/>
              <w:left w:val="single" w:color="auto" w:sz="4" w:space="0"/>
              <w:bottom w:val="single" w:color="auto" w:sz="4" w:space="0"/>
              <w:right w:val="single" w:color="auto" w:sz="4" w:space="0"/>
            </w:tcBorders>
            <w:shd w:val="clear" w:color="auto" w:fill="auto"/>
            <w:tcMar>
              <w:top w:w="57" w:type="dxa"/>
              <w:left w:w="28" w:type="dxa"/>
              <w:bottom w:w="0" w:type="dxa"/>
              <w:right w:w="0" w:type="dxa"/>
            </w:tcMar>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50%</w:t>
            </w:r>
          </w:p>
        </w:tc>
        <w:tc>
          <w:tcPr>
            <w:tcW w:w="338" w:type="pct"/>
            <w:vMerge w:val="restart"/>
            <w:tcBorders>
              <w:left w:val="single" w:color="auto" w:sz="4" w:space="0"/>
              <w:right w:val="single" w:color="auto" w:sz="4" w:space="0"/>
            </w:tcBorders>
            <w:shd w:val="clear" w:color="auto" w:fill="auto"/>
            <w:tcMar>
              <w:top w:w="57" w:type="dxa"/>
              <w:left w:w="28" w:type="dxa"/>
              <w:bottom w:w="0" w:type="dxa"/>
            </w:tcMar>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50%</w:t>
            </w:r>
          </w:p>
        </w:tc>
        <w:tc>
          <w:tcPr>
            <w:tcW w:w="634" w:type="pct"/>
            <w:vMerge w:val="restart"/>
            <w:tcBorders>
              <w:top w:val="single" w:color="auto" w:sz="4" w:space="0"/>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每项作业35min</w:t>
            </w:r>
          </w:p>
        </w:tc>
        <w:tc>
          <w:tcPr>
            <w:tcW w:w="646" w:type="pct"/>
            <w:vMerge w:val="restart"/>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随机抽取</w:t>
            </w:r>
          </w:p>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4选1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272" w:hRule="atLeast"/>
          <w:jc w:val="center"/>
        </w:trPr>
        <w:tc>
          <w:tcPr>
            <w:tcW w:w="541"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886"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1518" w:type="pct"/>
            <w:tcBorders>
              <w:top w:val="single" w:color="auto" w:sz="4" w:space="0"/>
              <w:left w:val="single" w:color="auto" w:sz="4" w:space="0"/>
              <w:bottom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弓网故障应急处置</w:t>
            </w:r>
          </w:p>
        </w:tc>
        <w:tc>
          <w:tcPr>
            <w:tcW w:w="433" w:type="pct"/>
            <w:tcBorders>
              <w:top w:val="single" w:color="auto" w:sz="4" w:space="0"/>
              <w:left w:val="single" w:color="auto" w:sz="4" w:space="0"/>
              <w:bottom w:val="single" w:color="auto" w:sz="4" w:space="0"/>
              <w:right w:val="single" w:color="auto" w:sz="4" w:space="0"/>
            </w:tcBorders>
            <w:shd w:val="clear" w:color="auto" w:fill="auto"/>
            <w:tcMar>
              <w:top w:w="57" w:type="dxa"/>
              <w:left w:w="28" w:type="dxa"/>
              <w:bottom w:w="0" w:type="dxa"/>
              <w:right w:w="0" w:type="dxa"/>
            </w:tcMar>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50%</w:t>
            </w:r>
          </w:p>
        </w:tc>
        <w:tc>
          <w:tcPr>
            <w:tcW w:w="338" w:type="pct"/>
            <w:vMerge w:val="continue"/>
            <w:tcBorders>
              <w:left w:val="single" w:color="auto" w:sz="4" w:space="0"/>
              <w:right w:val="single" w:color="auto" w:sz="4" w:space="0"/>
            </w:tcBorders>
            <w:shd w:val="clear" w:color="auto" w:fill="auto"/>
            <w:tcMar>
              <w:top w:w="57" w:type="dxa"/>
              <w:left w:w="28" w:type="dxa"/>
              <w:bottom w:w="0" w:type="dxa"/>
            </w:tcMar>
            <w:vAlign w:val="center"/>
          </w:tcPr>
          <w:p>
            <w:pPr>
              <w:spacing w:line="240" w:lineRule="auto"/>
              <w:ind w:firstLine="0" w:firstLineChars="0"/>
              <w:jc w:val="center"/>
              <w:rPr>
                <w:rFonts w:ascii="仿宋_GB2312" w:hAnsi="宋体" w:eastAsia="仿宋_GB2312"/>
                <w:bCs/>
                <w:sz w:val="24"/>
                <w:lang w:bidi="ar"/>
              </w:rPr>
            </w:pPr>
          </w:p>
        </w:tc>
        <w:tc>
          <w:tcPr>
            <w:tcW w:w="634"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646"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51" w:hRule="atLeast"/>
          <w:jc w:val="center"/>
        </w:trPr>
        <w:tc>
          <w:tcPr>
            <w:tcW w:w="541"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886"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1518" w:type="pct"/>
            <w:tcBorders>
              <w:top w:val="single" w:color="auto" w:sz="4" w:space="0"/>
              <w:left w:val="single" w:color="auto" w:sz="4" w:space="0"/>
              <w:bottom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列车故障救援应急处置</w:t>
            </w:r>
          </w:p>
        </w:tc>
        <w:tc>
          <w:tcPr>
            <w:tcW w:w="433" w:type="pct"/>
            <w:tcBorders>
              <w:top w:val="single" w:color="auto" w:sz="4" w:space="0"/>
              <w:left w:val="single" w:color="auto" w:sz="4" w:space="0"/>
              <w:bottom w:val="single" w:color="auto" w:sz="4" w:space="0"/>
              <w:right w:val="single" w:color="auto" w:sz="4" w:space="0"/>
            </w:tcBorders>
            <w:shd w:val="clear" w:color="auto" w:fill="auto"/>
            <w:tcMar>
              <w:top w:w="57" w:type="dxa"/>
              <w:left w:w="28" w:type="dxa"/>
              <w:bottom w:w="0" w:type="dxa"/>
              <w:right w:w="0" w:type="dxa"/>
            </w:tcMar>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50%</w:t>
            </w:r>
          </w:p>
        </w:tc>
        <w:tc>
          <w:tcPr>
            <w:tcW w:w="338" w:type="pct"/>
            <w:vMerge w:val="continue"/>
            <w:tcBorders>
              <w:left w:val="single" w:color="auto" w:sz="4" w:space="0"/>
              <w:right w:val="single" w:color="auto" w:sz="4" w:space="0"/>
            </w:tcBorders>
            <w:shd w:val="clear" w:color="auto" w:fill="auto"/>
            <w:tcMar>
              <w:top w:w="57" w:type="dxa"/>
              <w:left w:w="28" w:type="dxa"/>
              <w:bottom w:w="0" w:type="dxa"/>
            </w:tcMar>
            <w:vAlign w:val="center"/>
          </w:tcPr>
          <w:p>
            <w:pPr>
              <w:spacing w:line="240" w:lineRule="auto"/>
              <w:ind w:firstLine="0" w:firstLineChars="0"/>
              <w:jc w:val="center"/>
              <w:rPr>
                <w:rFonts w:ascii="仿宋_GB2312" w:hAnsi="宋体" w:eastAsia="仿宋_GB2312"/>
                <w:bCs/>
                <w:sz w:val="24"/>
                <w:lang w:bidi="ar"/>
              </w:rPr>
            </w:pPr>
          </w:p>
        </w:tc>
        <w:tc>
          <w:tcPr>
            <w:tcW w:w="634"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646"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43" w:hRule="atLeast"/>
          <w:jc w:val="center"/>
        </w:trPr>
        <w:tc>
          <w:tcPr>
            <w:tcW w:w="541"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886" w:type="pct"/>
            <w:vMerge w:val="continue"/>
            <w:tcBorders>
              <w:left w:val="single" w:color="auto" w:sz="4" w:space="0"/>
              <w:bottom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1518" w:type="pct"/>
            <w:tcBorders>
              <w:top w:val="single" w:color="auto" w:sz="4" w:space="0"/>
              <w:left w:val="single" w:color="auto" w:sz="4" w:space="0"/>
              <w:bottom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区间水淹应急处置</w:t>
            </w:r>
          </w:p>
        </w:tc>
        <w:tc>
          <w:tcPr>
            <w:tcW w:w="433" w:type="pct"/>
            <w:tcBorders>
              <w:top w:val="single" w:color="auto" w:sz="4" w:space="0"/>
              <w:left w:val="single" w:color="auto" w:sz="4" w:space="0"/>
              <w:bottom w:val="single" w:color="auto" w:sz="4" w:space="0"/>
              <w:right w:val="single" w:color="auto" w:sz="4" w:space="0"/>
            </w:tcBorders>
            <w:shd w:val="clear" w:color="auto" w:fill="auto"/>
            <w:tcMar>
              <w:top w:w="57" w:type="dxa"/>
              <w:left w:w="28" w:type="dxa"/>
              <w:bottom w:w="0" w:type="dxa"/>
              <w:right w:w="0" w:type="dxa"/>
            </w:tcMar>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50%</w:t>
            </w:r>
          </w:p>
        </w:tc>
        <w:tc>
          <w:tcPr>
            <w:tcW w:w="338" w:type="pct"/>
            <w:vMerge w:val="continue"/>
            <w:tcBorders>
              <w:left w:val="single" w:color="auto" w:sz="4" w:space="0"/>
              <w:right w:val="single" w:color="auto" w:sz="4" w:space="0"/>
            </w:tcBorders>
            <w:shd w:val="clear" w:color="auto" w:fill="auto"/>
            <w:tcMar>
              <w:top w:w="57" w:type="dxa"/>
              <w:left w:w="28" w:type="dxa"/>
              <w:bottom w:w="0" w:type="dxa"/>
            </w:tcMar>
            <w:vAlign w:val="center"/>
          </w:tcPr>
          <w:p>
            <w:pPr>
              <w:spacing w:line="240" w:lineRule="auto"/>
              <w:ind w:firstLine="0" w:firstLineChars="0"/>
              <w:jc w:val="center"/>
              <w:rPr>
                <w:rFonts w:ascii="仿宋_GB2312" w:hAnsi="宋体" w:eastAsia="仿宋_GB2312"/>
                <w:bCs/>
                <w:sz w:val="24"/>
                <w:lang w:bidi="ar"/>
              </w:rPr>
            </w:pPr>
          </w:p>
        </w:tc>
        <w:tc>
          <w:tcPr>
            <w:tcW w:w="634"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646"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43" w:hRule="atLeast"/>
          <w:jc w:val="center"/>
        </w:trPr>
        <w:tc>
          <w:tcPr>
            <w:tcW w:w="541"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886" w:type="pct"/>
            <w:vMerge w:val="restart"/>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副场景</w:t>
            </w:r>
          </w:p>
        </w:tc>
        <w:tc>
          <w:tcPr>
            <w:tcW w:w="1518" w:type="pct"/>
            <w:tcBorders>
              <w:top w:val="single" w:color="auto" w:sz="4" w:space="0"/>
              <w:left w:val="single" w:color="auto" w:sz="4" w:space="0"/>
              <w:bottom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信号重开处置</w:t>
            </w:r>
          </w:p>
        </w:tc>
        <w:tc>
          <w:tcPr>
            <w:tcW w:w="433" w:type="pct"/>
            <w:vMerge w:val="restart"/>
            <w:tcBorders>
              <w:top w:val="single" w:color="auto" w:sz="4" w:space="0"/>
              <w:left w:val="single" w:color="auto" w:sz="4" w:space="0"/>
              <w:right w:val="single" w:color="auto" w:sz="4" w:space="0"/>
            </w:tcBorders>
            <w:shd w:val="clear" w:color="auto" w:fill="auto"/>
            <w:tcMar>
              <w:top w:w="57" w:type="dxa"/>
              <w:left w:w="28" w:type="dxa"/>
              <w:bottom w:w="0" w:type="dxa"/>
              <w:right w:w="0" w:type="dxa"/>
            </w:tcMar>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w:t>
            </w:r>
          </w:p>
        </w:tc>
        <w:tc>
          <w:tcPr>
            <w:tcW w:w="1620" w:type="pct"/>
            <w:gridSpan w:val="3"/>
            <w:vMerge w:val="restart"/>
            <w:tcBorders>
              <w:left w:val="single" w:color="auto" w:sz="4" w:space="0"/>
              <w:right w:val="single" w:color="auto" w:sz="4" w:space="0"/>
            </w:tcBorders>
            <w:shd w:val="clear" w:color="auto" w:fill="auto"/>
            <w:tcMar>
              <w:top w:w="57" w:type="dxa"/>
              <w:left w:w="28" w:type="dxa"/>
              <w:bottom w:w="0" w:type="dxa"/>
            </w:tcMar>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随机抽选2个场景出现在主场景中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43" w:hRule="atLeast"/>
          <w:jc w:val="center"/>
        </w:trPr>
        <w:tc>
          <w:tcPr>
            <w:tcW w:w="541"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886"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1518" w:type="pct"/>
            <w:tcBorders>
              <w:top w:val="single" w:color="auto" w:sz="4" w:space="0"/>
              <w:left w:val="single" w:color="auto" w:sz="4" w:space="0"/>
              <w:bottom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区段故障锁闭处置</w:t>
            </w:r>
          </w:p>
        </w:tc>
        <w:tc>
          <w:tcPr>
            <w:tcW w:w="433" w:type="pct"/>
            <w:vMerge w:val="continue"/>
            <w:tcBorders>
              <w:left w:val="single" w:color="auto" w:sz="4" w:space="0"/>
              <w:right w:val="single" w:color="auto" w:sz="4" w:space="0"/>
            </w:tcBorders>
            <w:shd w:val="clear" w:color="auto" w:fill="auto"/>
            <w:tcMar>
              <w:top w:w="57" w:type="dxa"/>
              <w:left w:w="28" w:type="dxa"/>
              <w:bottom w:w="0" w:type="dxa"/>
              <w:right w:w="0" w:type="dxa"/>
            </w:tcMar>
            <w:vAlign w:val="center"/>
          </w:tcPr>
          <w:p>
            <w:pPr>
              <w:spacing w:line="240" w:lineRule="auto"/>
              <w:ind w:firstLine="0" w:firstLineChars="0"/>
              <w:jc w:val="center"/>
              <w:rPr>
                <w:rFonts w:ascii="仿宋_GB2312" w:hAnsi="宋体" w:eastAsia="仿宋_GB2312"/>
                <w:bCs/>
                <w:sz w:val="24"/>
                <w:lang w:bidi="ar"/>
              </w:rPr>
            </w:pPr>
          </w:p>
        </w:tc>
        <w:tc>
          <w:tcPr>
            <w:tcW w:w="1620" w:type="pct"/>
            <w:gridSpan w:val="3"/>
            <w:vMerge w:val="continue"/>
            <w:tcBorders>
              <w:left w:val="single" w:color="auto" w:sz="4" w:space="0"/>
              <w:right w:val="single" w:color="auto" w:sz="4" w:space="0"/>
            </w:tcBorders>
            <w:shd w:val="clear" w:color="auto" w:fill="auto"/>
            <w:tcMar>
              <w:top w:w="57" w:type="dxa"/>
              <w:left w:w="28" w:type="dxa"/>
              <w:bottom w:w="0" w:type="dxa"/>
            </w:tcMar>
            <w:vAlign w:val="center"/>
          </w:tcPr>
          <w:p>
            <w:pPr>
              <w:spacing w:line="240" w:lineRule="auto"/>
              <w:ind w:firstLine="0" w:firstLineChars="0"/>
              <w:jc w:val="center"/>
              <w:rPr>
                <w:rFonts w:ascii="仿宋_GB2312" w:hAnsi="宋体" w:eastAsia="仿宋_GB2312"/>
                <w:bCs/>
                <w:sz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43" w:hRule="atLeast"/>
          <w:jc w:val="center"/>
        </w:trPr>
        <w:tc>
          <w:tcPr>
            <w:tcW w:w="541"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886"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1518" w:type="pct"/>
            <w:tcBorders>
              <w:top w:val="single" w:color="auto" w:sz="4" w:space="0"/>
              <w:left w:val="single" w:color="auto" w:sz="4" w:space="0"/>
              <w:bottom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进路不自排处置</w:t>
            </w:r>
          </w:p>
        </w:tc>
        <w:tc>
          <w:tcPr>
            <w:tcW w:w="433" w:type="pct"/>
            <w:vMerge w:val="continue"/>
            <w:tcBorders>
              <w:left w:val="single" w:color="auto" w:sz="4" w:space="0"/>
              <w:right w:val="single" w:color="auto" w:sz="4" w:space="0"/>
            </w:tcBorders>
            <w:shd w:val="clear" w:color="auto" w:fill="auto"/>
            <w:tcMar>
              <w:top w:w="57" w:type="dxa"/>
              <w:left w:w="28" w:type="dxa"/>
              <w:bottom w:w="0" w:type="dxa"/>
              <w:right w:w="0" w:type="dxa"/>
            </w:tcMar>
            <w:vAlign w:val="center"/>
          </w:tcPr>
          <w:p>
            <w:pPr>
              <w:spacing w:line="240" w:lineRule="auto"/>
              <w:ind w:firstLine="0" w:firstLineChars="0"/>
              <w:jc w:val="center"/>
              <w:rPr>
                <w:rFonts w:ascii="仿宋_GB2312" w:hAnsi="宋体" w:eastAsia="仿宋_GB2312"/>
                <w:bCs/>
                <w:sz w:val="24"/>
                <w:lang w:bidi="ar"/>
              </w:rPr>
            </w:pPr>
          </w:p>
        </w:tc>
        <w:tc>
          <w:tcPr>
            <w:tcW w:w="1620" w:type="pct"/>
            <w:gridSpan w:val="3"/>
            <w:vMerge w:val="continue"/>
            <w:tcBorders>
              <w:left w:val="single" w:color="auto" w:sz="4" w:space="0"/>
              <w:right w:val="single" w:color="auto" w:sz="4" w:space="0"/>
            </w:tcBorders>
            <w:shd w:val="clear" w:color="auto" w:fill="auto"/>
            <w:tcMar>
              <w:top w:w="57" w:type="dxa"/>
              <w:left w:w="28" w:type="dxa"/>
              <w:bottom w:w="0" w:type="dxa"/>
            </w:tcMar>
            <w:vAlign w:val="center"/>
          </w:tcPr>
          <w:p>
            <w:pPr>
              <w:spacing w:line="240" w:lineRule="auto"/>
              <w:ind w:firstLine="0" w:firstLineChars="0"/>
              <w:jc w:val="center"/>
              <w:rPr>
                <w:rFonts w:ascii="仿宋_GB2312" w:hAnsi="宋体" w:eastAsia="仿宋_GB2312"/>
                <w:bCs/>
                <w:sz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43" w:hRule="atLeast"/>
          <w:jc w:val="center"/>
        </w:trPr>
        <w:tc>
          <w:tcPr>
            <w:tcW w:w="541" w:type="pct"/>
            <w:vMerge w:val="continue"/>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886" w:type="pct"/>
            <w:vMerge w:val="continue"/>
            <w:tcBorders>
              <w:left w:val="single" w:color="auto" w:sz="4" w:space="0"/>
              <w:bottom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c>
          <w:tcPr>
            <w:tcW w:w="1518" w:type="pct"/>
            <w:tcBorders>
              <w:top w:val="single" w:color="auto" w:sz="4" w:space="0"/>
              <w:left w:val="single" w:color="auto" w:sz="4" w:space="0"/>
              <w:bottom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道岔故障处置</w:t>
            </w:r>
          </w:p>
        </w:tc>
        <w:tc>
          <w:tcPr>
            <w:tcW w:w="433" w:type="pct"/>
            <w:vMerge w:val="continue"/>
            <w:tcBorders>
              <w:left w:val="single" w:color="auto" w:sz="4" w:space="0"/>
              <w:bottom w:val="single" w:color="auto" w:sz="4" w:space="0"/>
              <w:right w:val="single" w:color="auto" w:sz="4" w:space="0"/>
            </w:tcBorders>
            <w:shd w:val="clear" w:color="auto" w:fill="auto"/>
            <w:tcMar>
              <w:top w:w="57" w:type="dxa"/>
              <w:left w:w="28" w:type="dxa"/>
              <w:bottom w:w="0" w:type="dxa"/>
              <w:right w:w="0" w:type="dxa"/>
            </w:tcMar>
            <w:vAlign w:val="center"/>
          </w:tcPr>
          <w:p>
            <w:pPr>
              <w:spacing w:line="240" w:lineRule="auto"/>
              <w:ind w:firstLine="0" w:firstLineChars="0"/>
              <w:jc w:val="center"/>
              <w:rPr>
                <w:rFonts w:ascii="仿宋_GB2312" w:hAnsi="宋体" w:eastAsia="仿宋_GB2312"/>
                <w:bCs/>
                <w:sz w:val="24"/>
                <w:lang w:bidi="ar"/>
              </w:rPr>
            </w:pPr>
          </w:p>
        </w:tc>
        <w:tc>
          <w:tcPr>
            <w:tcW w:w="1620" w:type="pct"/>
            <w:gridSpan w:val="3"/>
            <w:vMerge w:val="continue"/>
            <w:tcBorders>
              <w:left w:val="single" w:color="auto" w:sz="4" w:space="0"/>
              <w:right w:val="single" w:color="auto" w:sz="4" w:space="0"/>
            </w:tcBorders>
            <w:shd w:val="clear" w:color="auto" w:fill="auto"/>
            <w:tcMar>
              <w:top w:w="57" w:type="dxa"/>
              <w:left w:w="28" w:type="dxa"/>
              <w:bottom w:w="0" w:type="dxa"/>
            </w:tcMar>
            <w:vAlign w:val="center"/>
          </w:tcPr>
          <w:p>
            <w:pPr>
              <w:spacing w:line="240" w:lineRule="auto"/>
              <w:ind w:firstLine="0" w:firstLineChars="0"/>
              <w:jc w:val="center"/>
              <w:rPr>
                <w:rFonts w:ascii="仿宋_GB2312" w:hAnsi="宋体" w:eastAsia="仿宋_GB2312"/>
                <w:bCs/>
                <w:sz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00" w:hRule="atLeast"/>
          <w:jc w:val="center"/>
        </w:trPr>
        <w:tc>
          <w:tcPr>
            <w:tcW w:w="3379" w:type="pct"/>
            <w:gridSpan w:val="4"/>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合计</w:t>
            </w:r>
          </w:p>
        </w:tc>
        <w:tc>
          <w:tcPr>
            <w:tcW w:w="338" w:type="pct"/>
            <w:tcBorders>
              <w:left w:val="single" w:color="auto" w:sz="4" w:space="0"/>
              <w:right w:val="single" w:color="auto" w:sz="4" w:space="0"/>
            </w:tcBorders>
            <w:shd w:val="clear" w:color="auto" w:fill="auto"/>
            <w:tcMar>
              <w:top w:w="57" w:type="dxa"/>
              <w:left w:w="28" w:type="dxa"/>
              <w:bottom w:w="0" w:type="dxa"/>
            </w:tcMar>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100%</w:t>
            </w:r>
          </w:p>
        </w:tc>
        <w:tc>
          <w:tcPr>
            <w:tcW w:w="634" w:type="pct"/>
            <w:tcBorders>
              <w:left w:val="single" w:color="auto" w:sz="4" w:space="0"/>
              <w:bottom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r>
              <w:rPr>
                <w:rFonts w:hint="eastAsia" w:ascii="仿宋_GB2312" w:hAnsi="宋体" w:eastAsia="仿宋_GB2312"/>
                <w:bCs/>
                <w:sz w:val="24"/>
                <w:lang w:bidi="ar"/>
              </w:rPr>
              <w:t>60min</w:t>
            </w:r>
          </w:p>
        </w:tc>
        <w:tc>
          <w:tcPr>
            <w:tcW w:w="646" w:type="pct"/>
            <w:tcBorders>
              <w:left w:val="single" w:color="auto" w:sz="4" w:space="0"/>
              <w:right w:val="single" w:color="auto" w:sz="4" w:space="0"/>
            </w:tcBorders>
            <w:shd w:val="clear" w:color="auto" w:fill="auto"/>
            <w:vAlign w:val="center"/>
          </w:tcPr>
          <w:p>
            <w:pPr>
              <w:spacing w:line="240" w:lineRule="auto"/>
              <w:ind w:firstLine="0" w:firstLineChars="0"/>
              <w:jc w:val="center"/>
              <w:rPr>
                <w:rFonts w:ascii="仿宋_GB2312" w:hAnsi="宋体" w:eastAsia="仿宋_GB2312"/>
                <w:bCs/>
                <w:sz w:val="24"/>
                <w:lang w:bidi="ar"/>
              </w:rPr>
            </w:pPr>
          </w:p>
        </w:tc>
      </w:tr>
    </w:tbl>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2．技能考核方式</w:t>
      </w:r>
    </w:p>
    <w:p>
      <w:pPr>
        <w:pStyle w:val="59"/>
        <w:spacing w:line="590" w:lineRule="exact"/>
        <w:ind w:firstLine="640"/>
        <w:outlineLvl w:val="0"/>
        <w:rPr>
          <w:rFonts w:ascii="Times New Roman" w:hAnsi="Times New Roman" w:eastAsia="方正仿宋_GBK" w:cs="Times New Roman"/>
          <w:szCs w:val="32"/>
        </w:rPr>
      </w:pPr>
      <w:bookmarkStart w:id="6" w:name="_Toc18308"/>
      <w:r>
        <w:rPr>
          <w:rFonts w:hint="eastAsia" w:ascii="Times New Roman" w:hAnsi="Times New Roman" w:eastAsia="方正仿宋_GBK" w:cs="Times New Roman"/>
          <w:szCs w:val="32"/>
        </w:rPr>
        <w:t>技能操作要求参赛选手在规定时间内完成日常调度指挥工作，突发事件应急处置2个项目，其中突发事件应急处置中的副场景是在主场景处置过程中随机出现，选手应在竞赛过程中及时发现并处置，若因未处置或处置不及时，造成列车</w:t>
      </w:r>
      <w:r>
        <w:rPr>
          <w:rFonts w:hint="eastAsia"/>
        </w:rPr>
        <w:t>晚</w:t>
      </w:r>
      <w:r>
        <w:rPr>
          <w:rFonts w:hint="eastAsia" w:ascii="Times New Roman" w:hAnsi="Times New Roman" w:eastAsia="方正仿宋_GBK" w:cs="Times New Roman"/>
          <w:szCs w:val="32"/>
        </w:rPr>
        <w:t>点和区间迫停，系统自动扣分。</w:t>
      </w:r>
    </w:p>
    <w:p>
      <w:pPr>
        <w:pStyle w:val="59"/>
        <w:spacing w:line="590" w:lineRule="exact"/>
        <w:ind w:firstLine="640"/>
        <w:outlineLvl w:val="0"/>
        <w:rPr>
          <w:rFonts w:ascii="Times New Roman" w:hAnsi="Times New Roman" w:eastAsia="方正仿宋_GBK" w:cs="Times New Roman"/>
          <w:szCs w:val="32"/>
        </w:rPr>
      </w:pPr>
      <w:r>
        <w:rPr>
          <w:rFonts w:hint="eastAsia" w:ascii="Times New Roman" w:hAnsi="Times New Roman" w:eastAsia="方正仿宋_GBK" w:cs="Times New Roman"/>
          <w:szCs w:val="32"/>
        </w:rPr>
        <w:t>每个任务都有规定时间，若在规定时间内，该任务未处理完毕，则未处理的部分不得分，进行下一任务的比赛。</w:t>
      </w:r>
    </w:p>
    <w:p>
      <w:pPr>
        <w:pStyle w:val="59"/>
        <w:spacing w:line="590" w:lineRule="exact"/>
        <w:ind w:firstLine="640"/>
        <w:outlineLvl w:val="0"/>
        <w:rPr>
          <w:rFonts w:ascii="方正黑体_GBK" w:hAnsi="方正黑体_GBK" w:eastAsia="方正黑体_GBK" w:cs="方正黑体_GBK"/>
          <w:bCs/>
          <w:szCs w:val="32"/>
        </w:rPr>
      </w:pPr>
      <w:r>
        <w:rPr>
          <w:rFonts w:ascii="方正黑体_GBK" w:hAnsi="方正黑体_GBK" w:eastAsia="方正黑体_GBK" w:cs="方正黑体_GBK"/>
          <w:bCs/>
          <w:szCs w:val="32"/>
        </w:rPr>
        <w:t>五、</w:t>
      </w:r>
      <w:r>
        <w:rPr>
          <w:rFonts w:hint="eastAsia" w:ascii="方正黑体_GBK" w:hAnsi="方正黑体_GBK" w:eastAsia="方正黑体_GBK" w:cs="方正黑体_GBK"/>
          <w:bCs/>
          <w:szCs w:val="32"/>
        </w:rPr>
        <w:t>竞赛环境</w:t>
      </w:r>
      <w:bookmarkEnd w:id="6"/>
      <w:bookmarkStart w:id="7" w:name="_Toc22428"/>
    </w:p>
    <w:p>
      <w:pPr>
        <w:pStyle w:val="59"/>
        <w:spacing w:line="590" w:lineRule="exact"/>
        <w:ind w:firstLine="643"/>
        <w:outlineLvl w:val="0"/>
        <w:rPr>
          <w:rFonts w:ascii="方正楷体_GBK" w:hAnsi="方正楷体_GBK" w:eastAsia="方正楷体_GBK" w:cs="方正楷体_GBK"/>
          <w:b/>
          <w:bCs/>
          <w:szCs w:val="32"/>
        </w:rPr>
      </w:pPr>
      <w:r>
        <w:rPr>
          <w:rFonts w:hint="eastAsia" w:ascii="方正楷体_GBK" w:hAnsi="方正楷体_GBK" w:eastAsia="方正楷体_GBK" w:cs="方正楷体_GBK"/>
          <w:b/>
          <w:bCs/>
          <w:szCs w:val="32"/>
        </w:rPr>
        <w:t>（一）竞赛场地</w:t>
      </w:r>
      <w:bookmarkEnd w:id="7"/>
    </w:p>
    <w:p>
      <w:pPr>
        <w:pStyle w:val="59"/>
        <w:spacing w:line="590" w:lineRule="exact"/>
        <w:ind w:firstLine="640"/>
        <w:outlineLvl w:val="0"/>
        <w:rPr>
          <w:rFonts w:ascii="Times New Roman" w:hAnsi="Times New Roman" w:eastAsia="方正仿宋_GBK" w:cs="Times New Roman"/>
          <w:szCs w:val="32"/>
        </w:rPr>
      </w:pPr>
      <w:r>
        <w:rPr>
          <w:rFonts w:hint="eastAsia" w:ascii="Times New Roman" w:hAnsi="Times New Roman" w:eastAsia="方正仿宋_GBK" w:cs="Times New Roman"/>
          <w:szCs w:val="32"/>
        </w:rPr>
        <w:t>1．理论知识考场为满足参赛选手理论知识竞赛的需求，场地需配备足够数量已组建局域网的计算机、服务器、考试软件系统等。</w:t>
      </w:r>
    </w:p>
    <w:p>
      <w:pPr>
        <w:pStyle w:val="59"/>
        <w:spacing w:line="590" w:lineRule="exact"/>
        <w:ind w:firstLine="640"/>
        <w:outlineLvl w:val="0"/>
        <w:rPr>
          <w:rFonts w:ascii="Times New Roman" w:hAnsi="Times New Roman" w:eastAsia="方正仿宋_GBK" w:cs="Times New Roman"/>
          <w:szCs w:val="32"/>
        </w:rPr>
      </w:pPr>
      <w:r>
        <w:rPr>
          <w:rFonts w:hint="eastAsia" w:ascii="Times New Roman" w:hAnsi="Times New Roman" w:eastAsia="方正仿宋_GBK" w:cs="Times New Roman"/>
          <w:szCs w:val="32"/>
        </w:rPr>
        <w:t>选手比赛时通过考试终端进行答题，答题完成后选手可自主提交试卷，答题时间结束，系统自动收卷。软件能够自动对提交的试卷进行评判并给出成绩。</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理论知识竞赛场地需安装监控摄像头，记录选手的考试过程。</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2．技能考核场地</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场地分为检录区、技能操作竞赛区、裁判区、考务区。</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检录区：核实参赛选手身份，检查有无违禁物品。</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裁判区：布置监控电脑、打印机及办公用品等，用于裁判长远程监控、成绩单打印等。</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考务区：存放工器具、耗材等。工作人员在竞赛过程中配合协作现场裁判。</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技能操作竞赛区：每个技能操作竞赛区面积约20m²（4m×5m）、功率约10KW。</w:t>
      </w:r>
    </w:p>
    <w:p>
      <w:pPr>
        <w:adjustRightInd/>
        <w:snapToGrid/>
        <w:spacing w:line="590" w:lineRule="exact"/>
        <w:ind w:firstLine="640"/>
        <w:rPr>
          <w:rFonts w:hint="eastAsia" w:eastAsia="方正仿宋_GBK"/>
          <w:lang w:eastAsia="zh-CN"/>
        </w:rPr>
      </w:pPr>
      <w:r>
        <w:rPr>
          <w:rFonts w:hint="eastAsia" w:ascii="Times New Roman" w:hAnsi="Times New Roman" w:eastAsia="方正仿宋_GBK" w:cs="Times New Roman"/>
          <w:szCs w:val="32"/>
        </w:rPr>
        <w:t>技能操作竞赛区域保证良好的采光、照明和通风，提供稳定的水、电和供电应急设备。赛场提供全方位录像设备，满足赛事监督和资源建设需求。单个竞赛场地面积不小于4m×5m，竞赛场地整体面积不小于12m×7m，布局如下图：</w:t>
      </w:r>
    </w:p>
    <w:p>
      <w:pPr>
        <w:adjustRightInd/>
        <w:snapToGrid/>
        <w:ind w:firstLine="480"/>
        <w:jc w:val="left"/>
        <w:rPr>
          <w:rFonts w:hint="eastAsia" w:ascii="仿宋" w:hAnsi="仿宋" w:eastAsia="仿宋_GB2312" w:cs="Times New Roman"/>
          <w:szCs w:val="32"/>
          <w:lang w:eastAsia="zh-CN"/>
        </w:rPr>
      </w:pPr>
      <w:r>
        <w:drawing>
          <wp:inline distT="0" distB="0" distL="114300" distR="114300">
            <wp:extent cx="5610860" cy="3794125"/>
            <wp:effectExtent l="0" t="0" r="12700" b="63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7"/>
                    <a:stretch>
                      <a:fillRect/>
                    </a:stretch>
                  </pic:blipFill>
                  <pic:spPr>
                    <a:xfrm>
                      <a:off x="0" y="0"/>
                      <a:ext cx="5610860" cy="3794125"/>
                    </a:xfrm>
                    <a:prstGeom prst="rect">
                      <a:avLst/>
                    </a:prstGeom>
                    <a:noFill/>
                    <a:ln>
                      <a:noFill/>
                    </a:ln>
                  </pic:spPr>
                </pic:pic>
              </a:graphicData>
            </a:graphic>
          </wp:inline>
        </w:drawing>
      </w:r>
    </w:p>
    <w:p>
      <w:pPr>
        <w:adjustRightInd/>
        <w:snapToGrid/>
        <w:spacing w:line="590" w:lineRule="exact"/>
        <w:ind w:firstLine="640"/>
        <w:rPr>
          <w:rFonts w:ascii="Times New Roman" w:hAnsi="Times New Roman" w:eastAsia="方正仿宋_GBK" w:cs="Times New Roman"/>
          <w:szCs w:val="32"/>
        </w:rPr>
      </w:pPr>
      <w:bookmarkStart w:id="8" w:name="_Toc30991"/>
      <w:r>
        <w:rPr>
          <w:rFonts w:hint="eastAsia" w:ascii="Times New Roman" w:hAnsi="Times New Roman" w:eastAsia="方正仿宋_GBK" w:cs="Times New Roman"/>
          <w:szCs w:val="32"/>
        </w:rPr>
        <w:t>技能操作竞赛区</w:t>
      </w:r>
      <w:r>
        <w:rPr>
          <w:rFonts w:hint="eastAsia"/>
        </w:rPr>
        <w:t>还</w:t>
      </w:r>
      <w:r>
        <w:rPr>
          <w:rFonts w:hint="eastAsia" w:ascii="Times New Roman" w:hAnsi="Times New Roman" w:eastAsia="方正仿宋_GBK" w:cs="Times New Roman"/>
          <w:szCs w:val="32"/>
        </w:rPr>
        <w:t>需配备的其</w:t>
      </w:r>
      <w:r>
        <w:rPr>
          <w:rFonts w:hint="eastAsia"/>
        </w:rPr>
        <w:t>他</w:t>
      </w:r>
      <w:r>
        <w:rPr>
          <w:rFonts w:hint="eastAsia" w:ascii="Times New Roman" w:hAnsi="Times New Roman" w:eastAsia="方正仿宋_GBK" w:cs="Times New Roman"/>
          <w:szCs w:val="32"/>
        </w:rPr>
        <w:t>设施主要有：</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办公场地：考务办公</w:t>
      </w:r>
      <w:r>
        <w:rPr>
          <w:rFonts w:hint="eastAsia"/>
        </w:rPr>
        <w:t>室</w:t>
      </w:r>
      <w:r>
        <w:rPr>
          <w:rFonts w:hint="eastAsia" w:ascii="Times New Roman" w:hAnsi="Times New Roman" w:eastAsia="方正仿宋_GBK" w:cs="Times New Roman"/>
          <w:szCs w:val="32"/>
        </w:rPr>
        <w:t>1间；</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选手准备和</w:t>
      </w:r>
      <w:r>
        <w:rPr>
          <w:rFonts w:hint="eastAsia"/>
        </w:rPr>
        <w:t>休</w:t>
      </w:r>
      <w:r>
        <w:rPr>
          <w:rFonts w:hint="eastAsia" w:ascii="Times New Roman" w:hAnsi="Times New Roman" w:eastAsia="方正仿宋_GBK" w:cs="Times New Roman"/>
          <w:szCs w:val="32"/>
        </w:rPr>
        <w:t>息场地：教</w:t>
      </w:r>
      <w:r>
        <w:rPr>
          <w:rFonts w:hint="eastAsia"/>
        </w:rPr>
        <w:t>室</w:t>
      </w:r>
      <w:r>
        <w:rPr>
          <w:rFonts w:hint="eastAsia" w:ascii="Times New Roman" w:hAnsi="Times New Roman" w:eastAsia="方正仿宋_GBK" w:cs="Times New Roman"/>
          <w:szCs w:val="32"/>
        </w:rPr>
        <w:t>2间；</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服务设备：</w:t>
      </w:r>
      <w:r>
        <w:rPr>
          <w:rFonts w:hint="eastAsia"/>
        </w:rPr>
        <w:t>饮</w:t>
      </w:r>
      <w:r>
        <w:rPr>
          <w:rFonts w:hint="eastAsia" w:ascii="Times New Roman" w:hAnsi="Times New Roman" w:eastAsia="方正仿宋_GBK" w:cs="Times New Roman"/>
          <w:szCs w:val="32"/>
        </w:rPr>
        <w:t>水机2台；</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应急车辆：2辆</w:t>
      </w:r>
    </w:p>
    <w:p>
      <w:pPr>
        <w:adjustRightInd/>
        <w:snapToGrid/>
        <w:spacing w:line="590" w:lineRule="exact"/>
        <w:ind w:firstLine="643"/>
        <w:rPr>
          <w:rFonts w:ascii="方正楷体_GBK" w:hAnsi="方正楷体_GBK" w:eastAsia="方正楷体_GBK" w:cs="方正楷体_GBK"/>
          <w:b/>
          <w:bCs/>
          <w:szCs w:val="32"/>
        </w:rPr>
      </w:pPr>
      <w:r>
        <w:rPr>
          <w:rFonts w:hint="eastAsia" w:ascii="方正楷体_GBK" w:hAnsi="方正楷体_GBK" w:eastAsia="方正楷体_GBK" w:cs="方正楷体_GBK"/>
          <w:b/>
          <w:bCs/>
          <w:szCs w:val="32"/>
        </w:rPr>
        <w:t>（二）竞赛平台</w:t>
      </w:r>
      <w:bookmarkEnd w:id="8"/>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本次竞赛设备由郑州捷安高科股份有限公司提供，型号为JA-RT-OM-TDC。</w:t>
      </w:r>
    </w:p>
    <w:p>
      <w:pPr>
        <w:pStyle w:val="2"/>
        <w:ind w:left="0" w:leftChars="0" w:right="0" w:rightChars="0" w:firstLine="0" w:firstLineChars="0"/>
        <w:jc w:val="center"/>
      </w:pPr>
      <w:r>
        <w:drawing>
          <wp:inline distT="0" distB="0" distL="0" distR="0">
            <wp:extent cx="5681980" cy="3409315"/>
            <wp:effectExtent l="0" t="0" r="2540" b="4445"/>
            <wp:docPr id="10585009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850090" name="图片 1"/>
                    <pic:cNvPicPr>
                      <a:picLocks noChangeAspect="1"/>
                    </pic:cNvPicPr>
                  </pic:nvPicPr>
                  <pic:blipFill>
                    <a:blip r:embed="rId18"/>
                    <a:stretch>
                      <a:fillRect/>
                    </a:stretch>
                  </pic:blipFill>
                  <pic:spPr>
                    <a:xfrm>
                      <a:off x="0" y="0"/>
                      <a:ext cx="5681980" cy="3409315"/>
                    </a:xfrm>
                    <a:prstGeom prst="rect">
                      <a:avLst/>
                    </a:prstGeom>
                  </pic:spPr>
                </pic:pic>
              </a:graphicData>
            </a:graphic>
          </wp:inline>
        </w:drawing>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竞赛平台包含ATS虚拟仿真系统，通信仿真系统，CCTV仿真系统，调度监控大屏系统，智能考评系统。</w:t>
      </w:r>
    </w:p>
    <w:p>
      <w:pPr>
        <w:adjustRightInd/>
        <w:snapToGrid/>
        <w:spacing w:line="590" w:lineRule="exact"/>
        <w:ind w:firstLine="640"/>
        <w:rPr>
          <w:rFonts w:ascii="宋体" w:hAnsi="宋体" w:eastAsia="宋体"/>
          <w:color w:val="000000" w:themeColor="text1"/>
          <w:sz w:val="24"/>
          <w14:textFill>
            <w14:solidFill>
              <w14:schemeClr w14:val="tx1"/>
            </w14:solidFill>
          </w14:textFill>
        </w:rPr>
      </w:pPr>
      <w:r>
        <w:rPr>
          <w:rFonts w:hint="eastAsia" w:ascii="Times New Roman" w:hAnsi="Times New Roman" w:eastAsia="方正仿宋_GBK" w:cs="Times New Roman"/>
          <w:szCs w:val="32"/>
        </w:rPr>
        <w:t>竞赛设备清单见下表。</w:t>
      </w:r>
    </w:p>
    <w:p>
      <w:pPr>
        <w:pStyle w:val="2"/>
        <w:spacing w:after="0" w:line="240" w:lineRule="auto"/>
        <w:ind w:left="0" w:leftChars="0" w:right="0" w:rightChars="0"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表 竞赛设备清单</w:t>
      </w:r>
    </w:p>
    <w:tbl>
      <w:tblPr>
        <w:tblStyle w:val="32"/>
        <w:tblpPr w:leftFromText="180" w:rightFromText="180" w:vertAnchor="text" w:horzAnchor="page" w:tblpX="1498" w:tblpY="268"/>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57"/>
        <w:gridCol w:w="3083"/>
        <w:gridCol w:w="2428"/>
        <w:gridCol w:w="1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7" w:type="dxa"/>
          </w:tcPr>
          <w:p>
            <w:pPr>
              <w:pStyle w:val="2"/>
              <w:spacing w:after="0" w:line="240" w:lineRule="auto"/>
              <w:ind w:left="0" w:leftChars="0" w:right="0" w:rightChars="0"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序号</w:t>
            </w:r>
          </w:p>
        </w:tc>
        <w:tc>
          <w:tcPr>
            <w:tcW w:w="3083" w:type="dxa"/>
          </w:tcPr>
          <w:p>
            <w:pPr>
              <w:pStyle w:val="2"/>
              <w:spacing w:after="0" w:line="240" w:lineRule="auto"/>
              <w:ind w:left="0" w:leftChars="0" w:right="0" w:rightChars="0"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技术平台</w:t>
            </w:r>
          </w:p>
        </w:tc>
        <w:tc>
          <w:tcPr>
            <w:tcW w:w="2428" w:type="dxa"/>
          </w:tcPr>
          <w:p>
            <w:pPr>
              <w:pStyle w:val="2"/>
              <w:spacing w:after="0" w:line="240" w:lineRule="auto"/>
              <w:ind w:left="0" w:leftChars="0" w:right="0" w:rightChars="0"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型号</w:t>
            </w:r>
          </w:p>
        </w:tc>
        <w:tc>
          <w:tcPr>
            <w:tcW w:w="1848" w:type="dxa"/>
          </w:tcPr>
          <w:p>
            <w:pPr>
              <w:pStyle w:val="2"/>
              <w:spacing w:after="0" w:line="240" w:lineRule="auto"/>
              <w:ind w:left="0" w:leftChars="0" w:right="0" w:rightChars="0"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数量/工位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7" w:type="dxa"/>
          </w:tcPr>
          <w:p>
            <w:pPr>
              <w:pStyle w:val="2"/>
              <w:spacing w:after="0" w:line="240" w:lineRule="auto"/>
              <w:ind w:left="0" w:leftChars="0" w:right="0" w:rightChars="0"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1</w:t>
            </w:r>
          </w:p>
        </w:tc>
        <w:tc>
          <w:tcPr>
            <w:tcW w:w="3083" w:type="dxa"/>
          </w:tcPr>
          <w:p>
            <w:pPr>
              <w:pStyle w:val="2"/>
              <w:spacing w:after="0" w:line="240" w:lineRule="auto"/>
              <w:ind w:left="0" w:leftChars="0" w:right="0" w:rightChars="0"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行车调度员ATS软件</w:t>
            </w:r>
          </w:p>
        </w:tc>
        <w:tc>
          <w:tcPr>
            <w:tcW w:w="2428" w:type="dxa"/>
          </w:tcPr>
          <w:p>
            <w:pPr>
              <w:pStyle w:val="2"/>
              <w:spacing w:after="0" w:line="240" w:lineRule="auto"/>
              <w:ind w:left="0" w:leftChars="0" w:right="0" w:rightChars="0"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捷安定制</w:t>
            </w:r>
          </w:p>
        </w:tc>
        <w:tc>
          <w:tcPr>
            <w:tcW w:w="1848" w:type="dxa"/>
          </w:tcPr>
          <w:p>
            <w:pPr>
              <w:pStyle w:val="2"/>
              <w:spacing w:after="0" w:line="240" w:lineRule="auto"/>
              <w:ind w:left="0" w:leftChars="0" w:right="0" w:rightChars="0"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1套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7" w:type="dxa"/>
          </w:tcPr>
          <w:p>
            <w:pPr>
              <w:pStyle w:val="2"/>
              <w:spacing w:after="0" w:line="240" w:lineRule="auto"/>
              <w:ind w:left="0" w:leftChars="0" w:right="0" w:rightChars="0"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2</w:t>
            </w:r>
          </w:p>
        </w:tc>
        <w:tc>
          <w:tcPr>
            <w:tcW w:w="3083" w:type="dxa"/>
          </w:tcPr>
          <w:p>
            <w:pPr>
              <w:pStyle w:val="2"/>
              <w:spacing w:after="0" w:line="240" w:lineRule="auto"/>
              <w:ind w:left="0" w:leftChars="0" w:right="0" w:rightChars="0"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通信系统</w:t>
            </w:r>
          </w:p>
        </w:tc>
        <w:tc>
          <w:tcPr>
            <w:tcW w:w="2428" w:type="dxa"/>
          </w:tcPr>
          <w:p>
            <w:pPr>
              <w:pStyle w:val="2"/>
              <w:spacing w:after="0" w:line="240" w:lineRule="auto"/>
              <w:ind w:left="0" w:leftChars="0" w:right="0" w:rightChars="0"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捷安定制</w:t>
            </w:r>
          </w:p>
        </w:tc>
        <w:tc>
          <w:tcPr>
            <w:tcW w:w="1848" w:type="dxa"/>
          </w:tcPr>
          <w:p>
            <w:pPr>
              <w:pStyle w:val="2"/>
              <w:spacing w:after="0" w:line="240" w:lineRule="auto"/>
              <w:ind w:left="0" w:leftChars="0" w:right="0" w:rightChars="0"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1套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7" w:type="dxa"/>
          </w:tcPr>
          <w:p>
            <w:pPr>
              <w:pStyle w:val="2"/>
              <w:spacing w:after="0" w:line="240" w:lineRule="auto"/>
              <w:ind w:left="0" w:leftChars="0" w:right="0" w:rightChars="0"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3</w:t>
            </w:r>
          </w:p>
        </w:tc>
        <w:tc>
          <w:tcPr>
            <w:tcW w:w="3083" w:type="dxa"/>
          </w:tcPr>
          <w:p>
            <w:pPr>
              <w:pStyle w:val="2"/>
              <w:spacing w:after="0" w:line="240" w:lineRule="auto"/>
              <w:ind w:left="0" w:leftChars="0" w:right="0" w:rightChars="0"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CCTV仿真系统</w:t>
            </w:r>
          </w:p>
        </w:tc>
        <w:tc>
          <w:tcPr>
            <w:tcW w:w="2428" w:type="dxa"/>
          </w:tcPr>
          <w:p>
            <w:pPr>
              <w:pStyle w:val="2"/>
              <w:spacing w:after="0" w:line="240" w:lineRule="auto"/>
              <w:ind w:left="0" w:leftChars="0" w:right="0" w:rightChars="0"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捷安定制</w:t>
            </w:r>
          </w:p>
        </w:tc>
        <w:tc>
          <w:tcPr>
            <w:tcW w:w="1848" w:type="dxa"/>
          </w:tcPr>
          <w:p>
            <w:pPr>
              <w:pStyle w:val="2"/>
              <w:spacing w:after="0" w:line="240" w:lineRule="auto"/>
              <w:ind w:left="0" w:leftChars="0" w:right="0" w:rightChars="0"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1套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7" w:type="dxa"/>
          </w:tcPr>
          <w:p>
            <w:pPr>
              <w:pStyle w:val="2"/>
              <w:spacing w:after="0" w:line="240" w:lineRule="auto"/>
              <w:ind w:left="0" w:leftChars="0" w:right="0" w:rightChars="0"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4</w:t>
            </w:r>
          </w:p>
        </w:tc>
        <w:tc>
          <w:tcPr>
            <w:tcW w:w="3083" w:type="dxa"/>
          </w:tcPr>
          <w:p>
            <w:pPr>
              <w:pStyle w:val="2"/>
              <w:spacing w:after="0" w:line="240" w:lineRule="auto"/>
              <w:ind w:left="0" w:leftChars="0" w:right="0" w:rightChars="0"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调度监控大屏系统</w:t>
            </w:r>
          </w:p>
        </w:tc>
        <w:tc>
          <w:tcPr>
            <w:tcW w:w="2428" w:type="dxa"/>
          </w:tcPr>
          <w:p>
            <w:pPr>
              <w:pStyle w:val="2"/>
              <w:spacing w:after="0" w:line="240" w:lineRule="auto"/>
              <w:ind w:left="0" w:leftChars="0" w:right="0" w:rightChars="0"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捷安定制</w:t>
            </w:r>
          </w:p>
        </w:tc>
        <w:tc>
          <w:tcPr>
            <w:tcW w:w="1848" w:type="dxa"/>
          </w:tcPr>
          <w:p>
            <w:pPr>
              <w:pStyle w:val="2"/>
              <w:spacing w:after="0" w:line="240" w:lineRule="auto"/>
              <w:ind w:left="0" w:leftChars="0" w:right="0" w:rightChars="0"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1套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7" w:type="dxa"/>
          </w:tcPr>
          <w:p>
            <w:pPr>
              <w:pStyle w:val="2"/>
              <w:spacing w:after="0" w:line="240" w:lineRule="auto"/>
              <w:ind w:left="0" w:leftChars="0" w:right="0" w:rightChars="0"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5</w:t>
            </w:r>
          </w:p>
        </w:tc>
        <w:tc>
          <w:tcPr>
            <w:tcW w:w="3083" w:type="dxa"/>
          </w:tcPr>
          <w:p>
            <w:pPr>
              <w:pStyle w:val="2"/>
              <w:spacing w:after="0" w:line="240" w:lineRule="auto"/>
              <w:ind w:left="0" w:leftChars="0" w:right="0" w:rightChars="0"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智能考评系统</w:t>
            </w:r>
          </w:p>
        </w:tc>
        <w:tc>
          <w:tcPr>
            <w:tcW w:w="2428" w:type="dxa"/>
          </w:tcPr>
          <w:p>
            <w:pPr>
              <w:pStyle w:val="2"/>
              <w:spacing w:after="0" w:line="240" w:lineRule="auto"/>
              <w:ind w:left="0" w:leftChars="0" w:right="0" w:rightChars="0"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捷安定制</w:t>
            </w:r>
          </w:p>
        </w:tc>
        <w:tc>
          <w:tcPr>
            <w:tcW w:w="1848" w:type="dxa"/>
          </w:tcPr>
          <w:p>
            <w:pPr>
              <w:pStyle w:val="2"/>
              <w:spacing w:after="0" w:line="240" w:lineRule="auto"/>
              <w:ind w:left="0" w:leftChars="0" w:right="0" w:rightChars="0"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1套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7" w:type="dxa"/>
            <w:vAlign w:val="center"/>
          </w:tcPr>
          <w:p>
            <w:pPr>
              <w:spacing w:line="240" w:lineRule="auto"/>
              <w:ind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6</w:t>
            </w:r>
          </w:p>
        </w:tc>
        <w:tc>
          <w:tcPr>
            <w:tcW w:w="3083" w:type="dxa"/>
            <w:vAlign w:val="center"/>
          </w:tcPr>
          <w:p>
            <w:pPr>
              <w:spacing w:line="240" w:lineRule="auto"/>
              <w:ind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工控机</w:t>
            </w:r>
          </w:p>
        </w:tc>
        <w:tc>
          <w:tcPr>
            <w:tcW w:w="2428" w:type="dxa"/>
            <w:vAlign w:val="center"/>
          </w:tcPr>
          <w:p>
            <w:pPr>
              <w:spacing w:line="240" w:lineRule="auto"/>
              <w:ind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研</w:t>
            </w:r>
            <w:r>
              <w:rPr>
                <w:rFonts w:hint="eastAsia"/>
                <w:sz w:val="24"/>
              </w:rPr>
              <w:t>华</w:t>
            </w:r>
            <w:r>
              <w:rPr>
                <w:rFonts w:hint="eastAsia" w:ascii="Times New Roman" w:hAnsi="Times New Roman" w:eastAsia="方正仿宋_GBK" w:cs="Times New Roman"/>
                <w:sz w:val="24"/>
              </w:rPr>
              <w:t>17-6700/16G</w:t>
            </w:r>
          </w:p>
        </w:tc>
        <w:tc>
          <w:tcPr>
            <w:tcW w:w="1848" w:type="dxa"/>
            <w:vAlign w:val="center"/>
          </w:tcPr>
          <w:p>
            <w:pPr>
              <w:spacing w:line="240" w:lineRule="auto"/>
              <w:ind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2套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7" w:type="dxa"/>
            <w:vAlign w:val="center"/>
          </w:tcPr>
          <w:p>
            <w:pPr>
              <w:spacing w:line="240" w:lineRule="auto"/>
              <w:ind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7</w:t>
            </w:r>
          </w:p>
        </w:tc>
        <w:tc>
          <w:tcPr>
            <w:tcW w:w="3083" w:type="dxa"/>
            <w:vAlign w:val="center"/>
          </w:tcPr>
          <w:p>
            <w:pPr>
              <w:spacing w:line="240" w:lineRule="auto"/>
              <w:ind w:firstLine="0" w:firstLineChars="0"/>
              <w:jc w:val="center"/>
              <w:rPr>
                <w:rFonts w:ascii="Times New Roman" w:hAnsi="Times New Roman" w:eastAsia="方正仿宋_GBK" w:cs="Times New Roman"/>
                <w:sz w:val="24"/>
              </w:rPr>
            </w:pPr>
            <w:r>
              <w:rPr>
                <w:rFonts w:hint="eastAsia"/>
                <w:sz w:val="24"/>
              </w:rPr>
              <w:t>显</w:t>
            </w:r>
            <w:r>
              <w:rPr>
                <w:rFonts w:hint="eastAsia" w:ascii="Times New Roman" w:hAnsi="Times New Roman" w:eastAsia="方正仿宋_GBK" w:cs="Times New Roman"/>
                <w:sz w:val="24"/>
              </w:rPr>
              <w:t>示器</w:t>
            </w:r>
          </w:p>
        </w:tc>
        <w:tc>
          <w:tcPr>
            <w:tcW w:w="2428" w:type="dxa"/>
            <w:vAlign w:val="center"/>
          </w:tcPr>
          <w:p>
            <w:pPr>
              <w:spacing w:line="240" w:lineRule="auto"/>
              <w:ind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DELL34</w:t>
            </w:r>
            <w:r>
              <w:rPr>
                <w:rFonts w:hint="eastAsia"/>
                <w:sz w:val="24"/>
              </w:rPr>
              <w:t>寸</w:t>
            </w:r>
          </w:p>
        </w:tc>
        <w:tc>
          <w:tcPr>
            <w:tcW w:w="1848" w:type="dxa"/>
            <w:vAlign w:val="center"/>
          </w:tcPr>
          <w:p>
            <w:pPr>
              <w:spacing w:line="240" w:lineRule="auto"/>
              <w:ind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2套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7" w:type="dxa"/>
            <w:vAlign w:val="center"/>
          </w:tcPr>
          <w:p>
            <w:pPr>
              <w:spacing w:line="240" w:lineRule="auto"/>
              <w:ind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8</w:t>
            </w:r>
          </w:p>
        </w:tc>
        <w:tc>
          <w:tcPr>
            <w:tcW w:w="3083" w:type="dxa"/>
            <w:vAlign w:val="center"/>
          </w:tcPr>
          <w:p>
            <w:pPr>
              <w:spacing w:line="240" w:lineRule="auto"/>
              <w:ind w:firstLine="0" w:firstLineChars="0"/>
              <w:jc w:val="center"/>
              <w:rPr>
                <w:rFonts w:ascii="Times New Roman" w:hAnsi="Times New Roman" w:eastAsia="方正仿宋_GBK" w:cs="Times New Roman"/>
                <w:sz w:val="24"/>
              </w:rPr>
            </w:pPr>
            <w:r>
              <w:rPr>
                <w:rFonts w:hint="eastAsia"/>
                <w:sz w:val="24"/>
              </w:rPr>
              <w:t>显</w:t>
            </w:r>
            <w:r>
              <w:rPr>
                <w:rFonts w:hint="eastAsia" w:ascii="Times New Roman" w:hAnsi="Times New Roman" w:eastAsia="方正仿宋_GBK" w:cs="Times New Roman"/>
                <w:sz w:val="24"/>
              </w:rPr>
              <w:t>示器</w:t>
            </w:r>
          </w:p>
        </w:tc>
        <w:tc>
          <w:tcPr>
            <w:tcW w:w="2428" w:type="dxa"/>
            <w:vAlign w:val="center"/>
          </w:tcPr>
          <w:p>
            <w:pPr>
              <w:spacing w:line="240" w:lineRule="auto"/>
              <w:ind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DELL21.5</w:t>
            </w:r>
            <w:r>
              <w:rPr>
                <w:rFonts w:hint="eastAsia"/>
                <w:sz w:val="24"/>
              </w:rPr>
              <w:t>寸</w:t>
            </w:r>
          </w:p>
        </w:tc>
        <w:tc>
          <w:tcPr>
            <w:tcW w:w="1848" w:type="dxa"/>
            <w:vAlign w:val="center"/>
          </w:tcPr>
          <w:p>
            <w:pPr>
              <w:spacing w:line="240" w:lineRule="auto"/>
              <w:ind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4套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7" w:type="dxa"/>
            <w:vAlign w:val="center"/>
          </w:tcPr>
          <w:p>
            <w:pPr>
              <w:spacing w:line="240" w:lineRule="auto"/>
              <w:ind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9</w:t>
            </w:r>
          </w:p>
        </w:tc>
        <w:tc>
          <w:tcPr>
            <w:tcW w:w="3083" w:type="dxa"/>
            <w:vAlign w:val="center"/>
          </w:tcPr>
          <w:p>
            <w:pPr>
              <w:spacing w:line="240" w:lineRule="auto"/>
              <w:ind w:firstLine="0" w:firstLineChars="0"/>
              <w:jc w:val="center"/>
              <w:rPr>
                <w:rFonts w:ascii="Times New Roman" w:hAnsi="Times New Roman" w:eastAsia="方正仿宋_GBK" w:cs="Times New Roman"/>
                <w:sz w:val="24"/>
              </w:rPr>
            </w:pPr>
            <w:r>
              <w:rPr>
                <w:rFonts w:hint="eastAsia"/>
                <w:sz w:val="24"/>
              </w:rPr>
              <w:t>音</w:t>
            </w:r>
            <w:r>
              <w:rPr>
                <w:rFonts w:hint="eastAsia" w:ascii="Times New Roman" w:hAnsi="Times New Roman" w:eastAsia="方正仿宋_GBK" w:cs="Times New Roman"/>
                <w:sz w:val="24"/>
              </w:rPr>
              <w:t>响</w:t>
            </w:r>
          </w:p>
        </w:tc>
        <w:tc>
          <w:tcPr>
            <w:tcW w:w="2428" w:type="dxa"/>
            <w:vAlign w:val="center"/>
          </w:tcPr>
          <w:p>
            <w:pPr>
              <w:spacing w:line="240" w:lineRule="auto"/>
              <w:ind w:firstLine="0" w:firstLineChars="0"/>
              <w:jc w:val="center"/>
              <w:rPr>
                <w:rFonts w:ascii="Times New Roman" w:hAnsi="Times New Roman" w:eastAsia="方正仿宋_GBK" w:cs="Times New Roman"/>
                <w:sz w:val="24"/>
              </w:rPr>
            </w:pPr>
            <w:r>
              <w:rPr>
                <w:rFonts w:hint="eastAsia"/>
                <w:sz w:val="24"/>
              </w:rPr>
              <w:t>雅兰仕</w:t>
            </w:r>
            <w:r>
              <w:rPr>
                <w:rFonts w:hint="eastAsia" w:ascii="Times New Roman" w:hAnsi="Times New Roman" w:eastAsia="方正仿宋_GBK" w:cs="Times New Roman"/>
                <w:sz w:val="24"/>
              </w:rPr>
              <w:t>AL202</w:t>
            </w:r>
          </w:p>
        </w:tc>
        <w:tc>
          <w:tcPr>
            <w:tcW w:w="1848" w:type="dxa"/>
            <w:vAlign w:val="center"/>
          </w:tcPr>
          <w:p>
            <w:pPr>
              <w:spacing w:line="240" w:lineRule="auto"/>
              <w:ind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1套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7" w:type="dxa"/>
            <w:vAlign w:val="center"/>
          </w:tcPr>
          <w:p>
            <w:pPr>
              <w:spacing w:line="240" w:lineRule="auto"/>
              <w:ind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10</w:t>
            </w:r>
          </w:p>
        </w:tc>
        <w:tc>
          <w:tcPr>
            <w:tcW w:w="3083" w:type="dxa"/>
            <w:vAlign w:val="center"/>
          </w:tcPr>
          <w:p>
            <w:pPr>
              <w:spacing w:line="240" w:lineRule="auto"/>
              <w:ind w:firstLine="0" w:firstLineChars="0"/>
              <w:jc w:val="center"/>
              <w:rPr>
                <w:rFonts w:ascii="Times New Roman" w:hAnsi="Times New Roman" w:eastAsia="方正仿宋_GBK" w:cs="Times New Roman"/>
                <w:sz w:val="24"/>
              </w:rPr>
            </w:pPr>
            <w:r>
              <w:rPr>
                <w:rFonts w:hint="eastAsia"/>
                <w:sz w:val="24"/>
              </w:rPr>
              <w:t>鹅颈</w:t>
            </w:r>
            <w:r>
              <w:rPr>
                <w:rFonts w:hint="eastAsia" w:ascii="Times New Roman" w:hAnsi="Times New Roman" w:eastAsia="方正仿宋_GBK" w:cs="Times New Roman"/>
                <w:sz w:val="24"/>
              </w:rPr>
              <w:t>话筒</w:t>
            </w:r>
          </w:p>
        </w:tc>
        <w:tc>
          <w:tcPr>
            <w:tcW w:w="2428" w:type="dxa"/>
            <w:vAlign w:val="center"/>
          </w:tcPr>
          <w:p>
            <w:pPr>
              <w:spacing w:line="240" w:lineRule="auto"/>
              <w:ind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得</w:t>
            </w:r>
            <w:r>
              <w:rPr>
                <w:rFonts w:hint="eastAsia"/>
                <w:sz w:val="24"/>
              </w:rPr>
              <w:t>胜</w:t>
            </w:r>
            <w:r>
              <w:rPr>
                <w:rFonts w:hint="eastAsia" w:ascii="Times New Roman" w:hAnsi="Times New Roman" w:eastAsia="方正仿宋_GBK" w:cs="Times New Roman"/>
                <w:sz w:val="24"/>
              </w:rPr>
              <w:t>MS-118</w:t>
            </w:r>
          </w:p>
        </w:tc>
        <w:tc>
          <w:tcPr>
            <w:tcW w:w="1848" w:type="dxa"/>
            <w:vAlign w:val="center"/>
          </w:tcPr>
          <w:p>
            <w:pPr>
              <w:spacing w:line="240" w:lineRule="auto"/>
              <w:ind w:firstLine="0" w:firstLineChars="0"/>
              <w:jc w:val="center"/>
              <w:rPr>
                <w:rFonts w:ascii="Times New Roman" w:hAnsi="Times New Roman" w:eastAsia="方正仿宋_GBK" w:cs="Times New Roman"/>
                <w:sz w:val="24"/>
              </w:rPr>
            </w:pPr>
            <w:r>
              <w:rPr>
                <w:rFonts w:hint="eastAsia" w:ascii="Times New Roman" w:hAnsi="Times New Roman" w:eastAsia="方正仿宋_GBK" w:cs="Times New Roman"/>
                <w:sz w:val="24"/>
              </w:rPr>
              <w:t>1套</w:t>
            </w:r>
          </w:p>
        </w:tc>
      </w:tr>
    </w:tbl>
    <w:p>
      <w:pPr>
        <w:pStyle w:val="2"/>
        <w:ind w:left="0" w:leftChars="0" w:right="2240" w:firstLine="0" w:firstLineChars="0"/>
      </w:pPr>
    </w:p>
    <w:p>
      <w:pPr>
        <w:adjustRightInd/>
        <w:snapToGrid/>
        <w:spacing w:line="590" w:lineRule="exact"/>
        <w:ind w:firstLine="643"/>
        <w:rPr>
          <w:rFonts w:ascii="方正楷体_GBK" w:hAnsi="方正楷体_GBK" w:eastAsia="方正楷体_GBK" w:cs="方正楷体_GBK"/>
          <w:b/>
          <w:bCs/>
          <w:szCs w:val="32"/>
        </w:rPr>
      </w:pPr>
      <w:bookmarkStart w:id="9" w:name="_Toc7286"/>
      <w:r>
        <w:rPr>
          <w:rFonts w:hint="eastAsia" w:ascii="方正楷体_GBK" w:hAnsi="方正楷体_GBK" w:eastAsia="方正楷体_GBK" w:cs="方正楷体_GBK"/>
          <w:b/>
          <w:bCs/>
          <w:szCs w:val="32"/>
        </w:rPr>
        <w:t>（三）日程安排</w:t>
      </w:r>
      <w:bookmarkEnd w:id="9"/>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竞赛前将根据参赛人数、竞赛场次等做出详细日程表，日程安排另行公布。</w:t>
      </w:r>
    </w:p>
    <w:p>
      <w:pPr>
        <w:adjustRightInd/>
        <w:snapToGrid/>
        <w:spacing w:line="590" w:lineRule="exact"/>
        <w:ind w:firstLine="643"/>
        <w:rPr>
          <w:rFonts w:ascii="方正楷体_GBK" w:hAnsi="方正楷体_GBK" w:eastAsia="方正楷体_GBK" w:cs="方正楷体_GBK"/>
          <w:b/>
          <w:bCs/>
          <w:szCs w:val="32"/>
        </w:rPr>
      </w:pPr>
      <w:bookmarkStart w:id="10" w:name="_Toc25646"/>
      <w:r>
        <w:rPr>
          <w:rFonts w:hint="eastAsia" w:ascii="方正楷体_GBK" w:hAnsi="方正楷体_GBK" w:eastAsia="方正楷体_GBK" w:cs="方正楷体_GBK"/>
          <w:b/>
          <w:bCs/>
          <w:szCs w:val="32"/>
        </w:rPr>
        <w:t>（四）现场安排</w:t>
      </w:r>
      <w:bookmarkEnd w:id="10"/>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1.赛前准备</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（1）赛前安排各参赛队选手统一有序地熟悉竞赛场地和设备，不允许拆装设备，不允许修改软件、设备参数等。</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（2）熟悉场地时，不得携带手机、相机等设备，不得对赛场及赛场设备拍照。</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（3）熟悉场地时不发表没有根据以及有损竞赛整体形象的言论。</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（4）熟悉场地时严格遵守竞赛各种制度，严禁拥挤、喧哗，以免发生意外事故。</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2.赛中要求</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竞赛过程中，参赛选手应遵守竞赛纪律，使用标准普通话发布命令及指示用语，按照赛题要求完成竞赛</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3.赛后要求</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竞赛结束时，参赛选手应按照裁判员要求停止操作，并提交赛项任务所有相关内容。</w:t>
      </w:r>
    </w:p>
    <w:p>
      <w:pPr>
        <w:adjustRightInd/>
        <w:snapToGrid/>
        <w:spacing w:line="590" w:lineRule="exact"/>
        <w:ind w:firstLine="643"/>
        <w:rPr>
          <w:rFonts w:ascii="方正楷体_GBK" w:hAnsi="方正楷体_GBK" w:eastAsia="方正楷体_GBK" w:cs="方正楷体_GBK"/>
          <w:b/>
          <w:bCs/>
          <w:szCs w:val="32"/>
        </w:rPr>
      </w:pPr>
      <w:bookmarkStart w:id="11" w:name="_Toc23468"/>
      <w:r>
        <w:rPr>
          <w:rFonts w:hint="eastAsia" w:ascii="方正楷体_GBK" w:hAnsi="方正楷体_GBK" w:eastAsia="方正楷体_GBK" w:cs="方正楷体_GBK"/>
          <w:b/>
          <w:bCs/>
          <w:szCs w:val="32"/>
        </w:rPr>
        <w:t>（五）赛场纪律</w:t>
      </w:r>
      <w:bookmarkEnd w:id="11"/>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1.参赛选手在竞赛过程中统一着本企业制服和组委会统一配发的服装。</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2.竞赛现场提供竞赛设备、相关技术资料、文具等，选手不得携带除参赛证和身份证以外的其它物品，如出现严重违规、违纪、舞弊等现象，经裁判组裁定可取消竞赛成绩。</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3.参赛选手按照参赛场次进入赛位，在规定时间内完成竞赛。</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4.进入赛位后，由现场宣布竞赛开始，方可开始操作。</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5.竞赛期间参赛选手须严格遵守相关安全操作规程，禁止不安全操作和野蛮操作。参赛选手有问题应及时向现场裁判提出。</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6.竞赛中因参赛选手个人原因造成的竞赛设备故障，不予延时。因非参赛选手个人原因造成的竞赛设备故障，由当值现场裁判视具体情况报裁判长允许后，做出延时决定。</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7.参赛选手提前结束竞赛，终止时间以计算机记录的时间为准。</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8.竞赛结束后，参赛选手和现场裁判在评分表上签字确认后，方可离开赛场。离场时不得将竞赛相关物品带离。</w:t>
      </w:r>
    </w:p>
    <w:p>
      <w:pPr>
        <w:pStyle w:val="59"/>
        <w:spacing w:line="590" w:lineRule="exact"/>
        <w:ind w:firstLine="640"/>
        <w:outlineLvl w:val="0"/>
        <w:rPr>
          <w:rFonts w:ascii="方正黑体_GBK" w:hAnsi="方正黑体_GBK" w:eastAsia="方正黑体_GBK" w:cs="方正黑体_GBK"/>
          <w:bCs/>
          <w:szCs w:val="32"/>
        </w:rPr>
      </w:pPr>
      <w:bookmarkStart w:id="12" w:name="_Toc7155"/>
      <w:r>
        <w:rPr>
          <w:rFonts w:ascii="方正黑体_GBK" w:hAnsi="方正黑体_GBK" w:eastAsia="方正黑体_GBK" w:cs="方正黑体_GBK"/>
          <w:bCs/>
          <w:szCs w:val="32"/>
        </w:rPr>
        <w:t>六、</w:t>
      </w:r>
      <w:r>
        <w:rPr>
          <w:rFonts w:hint="eastAsia" w:ascii="方正黑体_GBK" w:hAnsi="方正黑体_GBK" w:eastAsia="方正黑体_GBK" w:cs="方正黑体_GBK"/>
          <w:bCs/>
          <w:szCs w:val="32"/>
        </w:rPr>
        <w:t>技术</w:t>
      </w:r>
      <w:r>
        <w:rPr>
          <w:rFonts w:ascii="方正黑体_GBK" w:hAnsi="方正黑体_GBK" w:eastAsia="方正黑体_GBK" w:cs="方正黑体_GBK"/>
          <w:bCs/>
          <w:szCs w:val="32"/>
        </w:rPr>
        <w:t>标准</w:t>
      </w:r>
      <w:bookmarkEnd w:id="12"/>
    </w:p>
    <w:p>
      <w:pPr>
        <w:pStyle w:val="59"/>
        <w:spacing w:line="590" w:lineRule="exact"/>
        <w:ind w:firstLine="640"/>
        <w:outlineLvl w:val="0"/>
        <w:rPr>
          <w:rFonts w:ascii="Times New Roman" w:hAnsi="Times New Roman" w:eastAsia="方正仿宋_GBK" w:cs="Times New Roman"/>
          <w:szCs w:val="32"/>
        </w:rPr>
      </w:pPr>
      <w:bookmarkStart w:id="13" w:name="_Toc28361"/>
      <w:r>
        <w:rPr>
          <w:rFonts w:hint="eastAsia" w:ascii="Times New Roman" w:hAnsi="Times New Roman" w:eastAsia="方正仿宋_GBK" w:cs="Times New Roman"/>
          <w:szCs w:val="32"/>
        </w:rPr>
        <w:t>轨道交通调度员（城市轨道交通调度员）国家职业技能标准（GZB 4-02-01-06 ）(2022年</w:t>
      </w:r>
      <w:r>
        <w:rPr>
          <w:rFonts w:hint="eastAsia"/>
        </w:rPr>
        <w:t>版</w:t>
      </w:r>
      <w:r>
        <w:rPr>
          <w:rFonts w:hint="eastAsia" w:ascii="Times New Roman" w:hAnsi="Times New Roman" w:eastAsia="方正仿宋_GBK" w:cs="Times New Roman"/>
          <w:szCs w:val="32"/>
        </w:rPr>
        <w:t>)；</w:t>
      </w:r>
    </w:p>
    <w:p>
      <w:pPr>
        <w:pStyle w:val="59"/>
        <w:spacing w:line="590" w:lineRule="exact"/>
        <w:ind w:firstLine="640"/>
        <w:outlineLvl w:val="0"/>
        <w:rPr>
          <w:rFonts w:ascii="Times New Roman" w:hAnsi="Times New Roman" w:eastAsia="方正仿宋_GBK" w:cs="Times New Roman"/>
          <w:szCs w:val="32"/>
        </w:rPr>
      </w:pPr>
      <w:r>
        <w:rPr>
          <w:rFonts w:hint="eastAsia" w:ascii="Times New Roman" w:hAnsi="Times New Roman" w:eastAsia="方正仿宋_GBK" w:cs="Times New Roman"/>
          <w:szCs w:val="32"/>
        </w:rPr>
        <w:t>《城市轨道交通行车调度员技能和素质要求 第1部分：地铁、轻轨和单轨》（中</w:t>
      </w:r>
      <w:r>
        <w:rPr>
          <w:rFonts w:hint="eastAsia"/>
        </w:rPr>
        <w:t>华</w:t>
      </w:r>
      <w:r>
        <w:rPr>
          <w:rFonts w:hint="eastAsia" w:ascii="Times New Roman" w:hAnsi="Times New Roman" w:eastAsia="方正仿宋_GBK" w:cs="Times New Roman"/>
          <w:szCs w:val="32"/>
        </w:rPr>
        <w:t>人</w:t>
      </w:r>
      <w:r>
        <w:rPr>
          <w:rFonts w:hint="eastAsia"/>
        </w:rPr>
        <w:t>民</w:t>
      </w:r>
      <w:r>
        <w:rPr>
          <w:rFonts w:hint="eastAsia" w:ascii="Times New Roman" w:hAnsi="Times New Roman" w:eastAsia="方正仿宋_GBK" w:cs="Times New Roman"/>
          <w:szCs w:val="32"/>
        </w:rPr>
        <w:t>共和国交通运输行业标准JT/T 100.4—2015）；</w:t>
      </w:r>
    </w:p>
    <w:p>
      <w:pPr>
        <w:pStyle w:val="59"/>
        <w:spacing w:line="590" w:lineRule="exact"/>
        <w:ind w:firstLine="640"/>
        <w:outlineLvl w:val="0"/>
        <w:rPr>
          <w:rFonts w:ascii="Times New Roman" w:hAnsi="Times New Roman" w:eastAsia="方正仿宋_GBK" w:cs="Times New Roman"/>
          <w:szCs w:val="32"/>
        </w:rPr>
      </w:pPr>
      <w:r>
        <w:rPr>
          <w:rFonts w:hint="eastAsia" w:ascii="Times New Roman" w:hAnsi="Times New Roman" w:eastAsia="方正仿宋_GBK" w:cs="Times New Roman"/>
          <w:szCs w:val="32"/>
        </w:rPr>
        <w:t>《城市轨道交通技术规范》（GB 50490-2009）；</w:t>
      </w:r>
    </w:p>
    <w:p>
      <w:pPr>
        <w:pStyle w:val="59"/>
        <w:spacing w:line="590" w:lineRule="exact"/>
        <w:ind w:firstLine="640"/>
        <w:outlineLvl w:val="0"/>
        <w:rPr>
          <w:rFonts w:ascii="Times New Roman" w:hAnsi="Times New Roman" w:eastAsia="方正仿宋_GBK" w:cs="Times New Roman"/>
          <w:szCs w:val="32"/>
        </w:rPr>
      </w:pPr>
      <w:r>
        <w:rPr>
          <w:rFonts w:hint="eastAsia" w:ascii="Times New Roman" w:hAnsi="Times New Roman" w:eastAsia="方正仿宋_GBK" w:cs="Times New Roman"/>
          <w:szCs w:val="32"/>
        </w:rPr>
        <w:t>《城市轨道交通行车组织管理办法》（交运规〔2019〕14号）；</w:t>
      </w:r>
    </w:p>
    <w:p>
      <w:pPr>
        <w:pStyle w:val="59"/>
        <w:spacing w:line="590" w:lineRule="exact"/>
        <w:ind w:firstLine="640"/>
        <w:outlineLvl w:val="0"/>
        <w:rPr>
          <w:rFonts w:ascii="Times New Roman" w:hAnsi="Times New Roman" w:eastAsia="方正仿宋_GBK" w:cs="Times New Roman"/>
          <w:szCs w:val="32"/>
        </w:rPr>
      </w:pPr>
      <w:r>
        <w:rPr>
          <w:rFonts w:hint="eastAsia" w:ascii="Times New Roman" w:hAnsi="Times New Roman" w:eastAsia="方正仿宋_GBK" w:cs="Times New Roman"/>
          <w:szCs w:val="32"/>
        </w:rPr>
        <w:t>《城市轨道交通运营管理规范》（GB/T 30012-2013）；</w:t>
      </w:r>
    </w:p>
    <w:p>
      <w:pPr>
        <w:pStyle w:val="59"/>
        <w:spacing w:line="590" w:lineRule="exact"/>
        <w:ind w:firstLine="640"/>
        <w:outlineLvl w:val="0"/>
        <w:rPr>
          <w:rFonts w:ascii="Times New Roman" w:hAnsi="Times New Roman" w:eastAsia="方正仿宋_GBK" w:cs="Times New Roman"/>
          <w:szCs w:val="32"/>
        </w:rPr>
      </w:pPr>
      <w:r>
        <w:rPr>
          <w:rFonts w:hint="eastAsia" w:ascii="Times New Roman" w:hAnsi="Times New Roman" w:eastAsia="方正仿宋_GBK" w:cs="Times New Roman"/>
          <w:szCs w:val="32"/>
        </w:rPr>
        <w:t>《城市轨道交通运营突发事件应急演练管理办法》（交运规〔2019〕9号）；</w:t>
      </w:r>
    </w:p>
    <w:p>
      <w:pPr>
        <w:pStyle w:val="59"/>
        <w:spacing w:line="590" w:lineRule="exact"/>
        <w:ind w:firstLine="640"/>
        <w:outlineLvl w:val="0"/>
        <w:rPr>
          <w:rFonts w:ascii="Times New Roman" w:hAnsi="Times New Roman" w:eastAsia="方正仿宋_GBK" w:cs="Times New Roman"/>
          <w:szCs w:val="32"/>
        </w:rPr>
      </w:pPr>
      <w:r>
        <w:rPr>
          <w:rFonts w:hint="eastAsia" w:ascii="Times New Roman" w:hAnsi="Times New Roman" w:eastAsia="方正仿宋_GBK" w:cs="Times New Roman"/>
          <w:szCs w:val="32"/>
        </w:rPr>
        <w:t>《城市轨道交通设施设备运行维护管理办法》（交运规〔2019〕8号）；</w:t>
      </w:r>
    </w:p>
    <w:p>
      <w:pPr>
        <w:pStyle w:val="59"/>
        <w:spacing w:line="590" w:lineRule="exact"/>
        <w:ind w:firstLine="640"/>
        <w:outlineLvl w:val="0"/>
        <w:rPr>
          <w:rFonts w:ascii="Times New Roman" w:hAnsi="Times New Roman" w:eastAsia="方正仿宋_GBK" w:cs="Times New Roman"/>
          <w:szCs w:val="32"/>
        </w:rPr>
      </w:pPr>
      <w:r>
        <w:rPr>
          <w:rFonts w:hint="eastAsia" w:ascii="Times New Roman" w:hAnsi="Times New Roman" w:eastAsia="方正仿宋_GBK" w:cs="Times New Roman"/>
          <w:szCs w:val="32"/>
        </w:rPr>
        <w:t>《城市轨道交通信号系统运营技术规范（试行）》（交通运输部令2022年第1号）；</w:t>
      </w:r>
    </w:p>
    <w:p>
      <w:pPr>
        <w:ind w:firstLine="640"/>
      </w:pPr>
      <w:r>
        <w:rPr>
          <w:rFonts w:hint="eastAsia"/>
        </w:rPr>
        <w:t>城市轨道交通正式运营前安全评估规范第1部分：地铁和轻轨（交办运〔2019〕83号）；</w:t>
      </w:r>
    </w:p>
    <w:p>
      <w:pPr>
        <w:ind w:firstLine="640"/>
        <w:rPr>
          <w:rFonts w:ascii="Times New Roman" w:hAnsi="Times New Roman" w:eastAsia="方正仿宋_GBK" w:cs="Times New Roman"/>
          <w:szCs w:val="32"/>
        </w:rPr>
      </w:pPr>
      <w:r>
        <w:rPr>
          <w:rFonts w:hint="eastAsia"/>
        </w:rPr>
        <w:t>中华人民共和国安全生产法（2021年修订版）</w:t>
      </w:r>
      <w:r>
        <w:rPr>
          <w:rFonts w:hint="eastAsia" w:ascii="Times New Roman" w:hAnsi="Times New Roman" w:eastAsia="方正仿宋_GBK" w:cs="Times New Roman"/>
          <w:szCs w:val="32"/>
        </w:rPr>
        <w:t>。</w:t>
      </w:r>
    </w:p>
    <w:p>
      <w:pPr>
        <w:pStyle w:val="59"/>
        <w:spacing w:line="590" w:lineRule="exact"/>
        <w:ind w:firstLine="640"/>
        <w:outlineLvl w:val="0"/>
        <w:rPr>
          <w:rFonts w:ascii="方正黑体_GBK" w:hAnsi="方正黑体_GBK" w:eastAsia="方正黑体_GBK" w:cs="方正黑体_GBK"/>
          <w:bCs/>
          <w:szCs w:val="32"/>
        </w:rPr>
      </w:pPr>
      <w:r>
        <w:rPr>
          <w:rFonts w:ascii="方正黑体_GBK" w:hAnsi="方正黑体_GBK" w:eastAsia="方正黑体_GBK" w:cs="方正黑体_GBK"/>
          <w:bCs/>
          <w:szCs w:val="32"/>
        </w:rPr>
        <w:t>七、</w:t>
      </w:r>
      <w:r>
        <w:rPr>
          <w:rFonts w:hint="eastAsia" w:ascii="方正黑体_GBK" w:hAnsi="方正黑体_GBK" w:eastAsia="方正黑体_GBK" w:cs="方正黑体_GBK"/>
          <w:bCs/>
          <w:szCs w:val="32"/>
        </w:rPr>
        <w:t>技术</w:t>
      </w:r>
      <w:r>
        <w:rPr>
          <w:rFonts w:ascii="方正黑体_GBK" w:hAnsi="方正黑体_GBK" w:eastAsia="方正黑体_GBK" w:cs="方正黑体_GBK"/>
          <w:bCs/>
          <w:szCs w:val="32"/>
        </w:rPr>
        <w:t>团队</w:t>
      </w:r>
      <w:bookmarkEnd w:id="13"/>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大赛组建技术团队，设专家组组长及裁判长，由专家组根据本竞赛规程要求组织命题，裁判长组织制定赛项竞赛规则，在赛前公布竞赛样题和评分规则。</w:t>
      </w:r>
    </w:p>
    <w:p>
      <w:pPr>
        <w:pStyle w:val="59"/>
        <w:spacing w:line="590" w:lineRule="exact"/>
        <w:ind w:firstLine="640"/>
        <w:outlineLvl w:val="0"/>
        <w:rPr>
          <w:rFonts w:ascii="方正黑体_GBK" w:hAnsi="方正黑体_GBK" w:eastAsia="方正黑体_GBK" w:cs="方正黑体_GBK"/>
          <w:bCs/>
          <w:szCs w:val="32"/>
        </w:rPr>
      </w:pPr>
      <w:bookmarkStart w:id="14" w:name="_Toc25459"/>
      <w:r>
        <w:rPr>
          <w:rFonts w:ascii="方正黑体_GBK" w:hAnsi="方正黑体_GBK" w:eastAsia="方正黑体_GBK" w:cs="方正黑体_GBK"/>
          <w:bCs/>
          <w:szCs w:val="32"/>
        </w:rPr>
        <w:t>八、</w:t>
      </w:r>
      <w:r>
        <w:rPr>
          <w:rFonts w:hint="eastAsia" w:ascii="方正黑体_GBK" w:hAnsi="方正黑体_GBK" w:eastAsia="方正黑体_GBK" w:cs="方正黑体_GBK"/>
          <w:bCs/>
          <w:szCs w:val="32"/>
        </w:rPr>
        <w:t>裁判、</w:t>
      </w:r>
      <w:r>
        <w:rPr>
          <w:rFonts w:ascii="方正黑体_GBK" w:hAnsi="方正黑体_GBK" w:eastAsia="方正黑体_GBK" w:cs="方正黑体_GBK"/>
          <w:bCs/>
          <w:szCs w:val="32"/>
        </w:rPr>
        <w:t>仲裁</w:t>
      </w:r>
      <w:bookmarkEnd w:id="14"/>
    </w:p>
    <w:p>
      <w:pPr>
        <w:adjustRightInd/>
        <w:snapToGrid/>
        <w:spacing w:line="590" w:lineRule="exact"/>
        <w:ind w:firstLine="643"/>
        <w:rPr>
          <w:rFonts w:ascii="方正楷体_GBK" w:hAnsi="方正楷体_GBK" w:eastAsia="方正楷体_GBK" w:cs="方正楷体_GBK"/>
          <w:b/>
          <w:bCs/>
          <w:szCs w:val="32"/>
        </w:rPr>
      </w:pPr>
      <w:bookmarkStart w:id="15" w:name="_Toc1380"/>
      <w:r>
        <w:rPr>
          <w:rFonts w:hint="eastAsia" w:ascii="方正楷体_GBK" w:hAnsi="方正楷体_GBK" w:eastAsia="方正楷体_GBK" w:cs="方正楷体_GBK"/>
          <w:b/>
          <w:bCs/>
          <w:szCs w:val="32"/>
        </w:rPr>
        <w:t>（一）裁判产生方式</w:t>
      </w:r>
      <w:bookmarkEnd w:id="15"/>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大赛委员会采用推荐和审核的方式确定裁判执裁团队，大赛设裁判长一名，每个赛位2名评分裁判员。</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赛场实行裁判长负责制，全面负责本赛项的竞赛执裁工作，赛前向参赛选手宣读竞赛须知，解决现场执裁分歧和申诉等问题。</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裁判员应服从裁判长的管理，裁判员的工作由裁判长指派或抽签决定。在工作时间内，裁判员不得徇私舞弊，无故迟到、早退、中途离开工作地或放弃工作，否则将视其影响程度进行相应处理，直至取消裁判员资格并记录在案。</w:t>
      </w:r>
    </w:p>
    <w:p>
      <w:pPr>
        <w:adjustRightInd/>
        <w:snapToGrid/>
        <w:spacing w:line="590" w:lineRule="exact"/>
        <w:ind w:firstLine="643"/>
        <w:rPr>
          <w:rFonts w:ascii="方正楷体_GBK" w:hAnsi="方正楷体_GBK" w:eastAsia="方正楷体_GBK" w:cs="方正楷体_GBK"/>
          <w:b/>
          <w:bCs/>
          <w:szCs w:val="32"/>
        </w:rPr>
      </w:pPr>
      <w:bookmarkStart w:id="16" w:name="_Toc2421"/>
      <w:r>
        <w:rPr>
          <w:rFonts w:hint="eastAsia" w:ascii="方正楷体_GBK" w:hAnsi="方正楷体_GBK" w:eastAsia="方正楷体_GBK" w:cs="方正楷体_GBK"/>
          <w:b/>
          <w:bCs/>
          <w:szCs w:val="32"/>
        </w:rPr>
        <w:t>（二）赛前培训安排</w:t>
      </w:r>
      <w:bookmarkEnd w:id="16"/>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裁判员需在赛前参加裁判工作培训，掌握与执裁工作相关的竞赛制度要求和赛项竞赛规则，具体包括：竞赛技术规则、竞赛技术平台、评分方式、评分标准、成绩管理流程、安全注意事项和安全应急预案等。</w:t>
      </w:r>
    </w:p>
    <w:p>
      <w:pPr>
        <w:adjustRightInd/>
        <w:snapToGrid/>
        <w:spacing w:line="590" w:lineRule="exact"/>
        <w:ind w:firstLine="643"/>
        <w:rPr>
          <w:rFonts w:ascii="方正楷体_GBK" w:hAnsi="方正楷体_GBK" w:eastAsia="方正楷体_GBK" w:cs="方正楷体_GBK"/>
          <w:b/>
          <w:bCs/>
          <w:szCs w:val="32"/>
        </w:rPr>
      </w:pPr>
      <w:bookmarkStart w:id="17" w:name="_Toc17029"/>
      <w:r>
        <w:rPr>
          <w:rFonts w:hint="eastAsia" w:ascii="方正楷体_GBK" w:hAnsi="方正楷体_GBK" w:eastAsia="方正楷体_GBK" w:cs="方正楷体_GBK"/>
          <w:b/>
          <w:bCs/>
          <w:szCs w:val="32"/>
        </w:rPr>
        <w:t>（三）仲裁人员安排</w:t>
      </w:r>
      <w:bookmarkEnd w:id="17"/>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仲裁人员由大赛组委会指定。</w:t>
      </w:r>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仲裁组负责接受由参赛队领队提出的对裁判结果的申诉，组织复议并及时反馈复议结果。</w:t>
      </w:r>
    </w:p>
    <w:p>
      <w:pPr>
        <w:pStyle w:val="59"/>
        <w:spacing w:line="590" w:lineRule="exact"/>
        <w:ind w:firstLine="640"/>
        <w:outlineLvl w:val="0"/>
        <w:rPr>
          <w:rFonts w:ascii="方正黑体_GBK" w:hAnsi="方正黑体_GBK" w:eastAsia="方正黑体_GBK" w:cs="方正黑体_GBK"/>
          <w:bCs/>
          <w:szCs w:val="32"/>
        </w:rPr>
      </w:pPr>
      <w:bookmarkStart w:id="18" w:name="_Toc32442"/>
      <w:r>
        <w:rPr>
          <w:rFonts w:ascii="方正黑体_GBK" w:hAnsi="方正黑体_GBK" w:eastAsia="方正黑体_GBK" w:cs="方正黑体_GBK"/>
          <w:bCs/>
          <w:szCs w:val="32"/>
        </w:rPr>
        <w:t>九、</w:t>
      </w:r>
      <w:r>
        <w:rPr>
          <w:rFonts w:hint="eastAsia" w:ascii="方正黑体_GBK" w:hAnsi="方正黑体_GBK" w:eastAsia="方正黑体_GBK" w:cs="方正黑体_GBK"/>
          <w:bCs/>
          <w:szCs w:val="32"/>
        </w:rPr>
        <w:t>成绩评定</w:t>
      </w:r>
      <w:bookmarkEnd w:id="18"/>
    </w:p>
    <w:p>
      <w:pPr>
        <w:adjustRightInd/>
        <w:snapToGrid/>
        <w:spacing w:line="590" w:lineRule="exact"/>
        <w:ind w:firstLine="643"/>
        <w:rPr>
          <w:rFonts w:ascii="方正楷体_GBK" w:hAnsi="方正楷体_GBK" w:eastAsia="方正楷体_GBK" w:cs="方正楷体_GBK"/>
          <w:b/>
          <w:bCs/>
          <w:szCs w:val="32"/>
        </w:rPr>
      </w:pPr>
      <w:bookmarkStart w:id="19" w:name="_Toc11870"/>
      <w:r>
        <w:rPr>
          <w:rFonts w:hint="eastAsia" w:ascii="方正楷体_GBK" w:hAnsi="方正楷体_GBK" w:eastAsia="方正楷体_GBK" w:cs="方正楷体_GBK"/>
          <w:b/>
          <w:bCs/>
          <w:szCs w:val="32"/>
        </w:rPr>
        <w:t>（一）竞赛成绩</w:t>
      </w:r>
      <w:bookmarkEnd w:id="19"/>
    </w:p>
    <w:p>
      <w:pPr>
        <w:adjustRightInd/>
        <w:snapToGrid/>
        <w:spacing w:line="590" w:lineRule="exact"/>
        <w:ind w:firstLine="640"/>
        <w:rPr>
          <w:rFonts w:ascii="Times New Roman" w:hAnsi="Times New Roman" w:eastAsia="方正仿宋_GBK" w:cs="Times New Roman"/>
          <w:szCs w:val="32"/>
        </w:rPr>
      </w:pPr>
      <w:r>
        <w:rPr>
          <w:rFonts w:hint="eastAsia" w:ascii="Times New Roman" w:hAnsi="Times New Roman" w:eastAsia="方正仿宋_GBK" w:cs="Times New Roman"/>
          <w:szCs w:val="32"/>
        </w:rPr>
        <w:t>竞赛总成绩由理论知识和技能考核两部分成绩组成，其中理</w:t>
      </w:r>
      <w:r>
        <w:rPr>
          <w:rFonts w:ascii="Times New Roman" w:hAnsi="Times New Roman" w:eastAsia="方正仿宋_GBK" w:cs="Times New Roman"/>
          <w:szCs w:val="32"/>
        </w:rPr>
        <w:t>论知识成绩占30%，技能考核成绩占70%，成绩精确到小数点后2位。</w:t>
      </w:r>
    </w:p>
    <w:p>
      <w:pPr>
        <w:adjustRightInd/>
        <w:snapToGrid/>
        <w:spacing w:line="590" w:lineRule="exact"/>
        <w:ind w:firstLine="640"/>
        <w:rPr>
          <w:rFonts w:ascii="Times New Roman" w:hAnsi="Times New Roman" w:eastAsia="方正仿宋_GBK" w:cs="Times New Roman"/>
          <w:szCs w:val="32"/>
        </w:rPr>
      </w:pPr>
      <w:r>
        <w:rPr>
          <w:rFonts w:ascii="Times New Roman" w:hAnsi="Times New Roman" w:eastAsia="方正仿宋_GBK" w:cs="Times New Roman"/>
          <w:szCs w:val="32"/>
        </w:rPr>
        <w:t>总成绩最高的为第一名，以此类推，确定所有参赛选手的最终名次。遇总成绩相同者，实操技能成绩高者名次在前。实操技能成绩相同者，依次按照突发事件应急处置、信号故障处置、日常调度指挥工作的顺序，成绩高者，名次在前。若以上成绩均相同，则按照突发事件应急处置、信号故障处置、日常调度指挥工作的顺序，用时短者，名次在前。</w:t>
      </w:r>
    </w:p>
    <w:p>
      <w:pPr>
        <w:adjustRightInd/>
        <w:snapToGrid/>
        <w:spacing w:line="590" w:lineRule="exact"/>
        <w:ind w:firstLine="643"/>
        <w:rPr>
          <w:rFonts w:ascii="Times New Roman" w:hAnsi="Times New Roman" w:eastAsia="方正楷体_GBK" w:cs="Times New Roman"/>
          <w:b/>
          <w:bCs/>
          <w:szCs w:val="32"/>
        </w:rPr>
      </w:pPr>
      <w:bookmarkStart w:id="20" w:name="_Toc25430"/>
      <w:r>
        <w:rPr>
          <w:rFonts w:ascii="Times New Roman" w:hAnsi="Times New Roman" w:eastAsia="方正楷体_GBK" w:cs="Times New Roman"/>
          <w:b/>
          <w:bCs/>
          <w:szCs w:val="32"/>
        </w:rPr>
        <w:t>（二）评判方式</w:t>
      </w:r>
      <w:bookmarkEnd w:id="20"/>
    </w:p>
    <w:p>
      <w:pPr>
        <w:adjustRightInd/>
        <w:snapToGrid/>
        <w:spacing w:line="590" w:lineRule="exact"/>
        <w:ind w:firstLine="640"/>
        <w:rPr>
          <w:rFonts w:ascii="Times New Roman" w:hAnsi="Times New Roman" w:eastAsia="方正仿宋_GBK" w:cs="Times New Roman"/>
          <w:szCs w:val="32"/>
        </w:rPr>
      </w:pPr>
      <w:r>
        <w:rPr>
          <w:rFonts w:ascii="Times New Roman" w:hAnsi="Times New Roman" w:eastAsia="方正仿宋_GBK" w:cs="Times New Roman"/>
          <w:szCs w:val="32"/>
        </w:rPr>
        <w:t>理论评判为计算机评分，实操技能评判方式为计算机评分、人工为主/计算机辅助、人工评分三种形式相结合方式评分。</w:t>
      </w:r>
    </w:p>
    <w:p>
      <w:pPr>
        <w:adjustRightInd/>
        <w:snapToGrid/>
        <w:spacing w:line="590" w:lineRule="exact"/>
        <w:ind w:firstLine="643"/>
        <w:rPr>
          <w:rFonts w:ascii="Times New Roman" w:hAnsi="Times New Roman" w:eastAsia="方正楷体_GBK" w:cs="Times New Roman"/>
          <w:b/>
          <w:bCs/>
          <w:szCs w:val="32"/>
        </w:rPr>
      </w:pPr>
      <w:bookmarkStart w:id="21" w:name="_Toc26295"/>
      <w:r>
        <w:rPr>
          <w:rFonts w:ascii="Times New Roman" w:hAnsi="Times New Roman" w:eastAsia="方正楷体_GBK" w:cs="Times New Roman"/>
          <w:b/>
          <w:bCs/>
          <w:szCs w:val="32"/>
        </w:rPr>
        <w:t>（三）违规扣分</w:t>
      </w:r>
      <w:bookmarkEnd w:id="21"/>
    </w:p>
    <w:p>
      <w:pPr>
        <w:adjustRightInd/>
        <w:snapToGrid/>
        <w:spacing w:line="590" w:lineRule="exact"/>
        <w:ind w:firstLine="640"/>
        <w:rPr>
          <w:rFonts w:ascii="Times New Roman" w:hAnsi="Times New Roman" w:eastAsia="方正仿宋_GBK" w:cs="Times New Roman"/>
          <w:szCs w:val="32"/>
        </w:rPr>
      </w:pPr>
      <w:r>
        <w:rPr>
          <w:rFonts w:ascii="Times New Roman" w:hAnsi="Times New Roman" w:eastAsia="方正仿宋_GBK" w:cs="Times New Roman"/>
          <w:szCs w:val="32"/>
        </w:rPr>
        <w:t>在完成工作任务的过程中，因操作不当导致事故、违规操作损坏赛场设备、干扰裁判员工作等，视情节扣总成绩相应分数。</w:t>
      </w:r>
    </w:p>
    <w:p>
      <w:pPr>
        <w:adjustRightInd/>
        <w:snapToGrid/>
        <w:spacing w:line="590" w:lineRule="exact"/>
        <w:ind w:firstLine="643"/>
        <w:rPr>
          <w:rFonts w:ascii="Times New Roman" w:hAnsi="Times New Roman" w:eastAsia="方正楷体_GBK" w:cs="Times New Roman"/>
          <w:b/>
          <w:bCs/>
          <w:szCs w:val="32"/>
        </w:rPr>
      </w:pPr>
      <w:bookmarkStart w:id="22" w:name="_Toc27627"/>
      <w:r>
        <w:rPr>
          <w:rFonts w:ascii="Times New Roman" w:hAnsi="Times New Roman" w:eastAsia="方正楷体_GBK" w:cs="Times New Roman"/>
          <w:b/>
          <w:bCs/>
          <w:szCs w:val="32"/>
        </w:rPr>
        <w:t>（四）评分细则</w:t>
      </w:r>
      <w:bookmarkEnd w:id="22"/>
    </w:p>
    <w:p>
      <w:pPr>
        <w:pStyle w:val="6"/>
        <w:numPr>
          <w:ilvl w:val="0"/>
          <w:numId w:val="0"/>
        </w:numPr>
        <w:spacing w:line="590" w:lineRule="exact"/>
        <w:ind w:firstLine="643" w:firstLineChars="200"/>
        <w:jc w:val="both"/>
        <w:rPr>
          <w:rFonts w:ascii="Times New Roman" w:hAnsi="Times New Roman" w:eastAsia="方正仿宋_GBK" w:cs="Times New Roman"/>
        </w:rPr>
      </w:pPr>
      <w:r>
        <w:rPr>
          <w:rFonts w:hint="eastAsia" w:ascii="Times New Roman" w:hAnsi="Times New Roman" w:eastAsia="方正仿宋_GBK" w:cs="Times New Roman"/>
        </w:rPr>
        <w:t>1．</w:t>
      </w:r>
      <w:r>
        <w:rPr>
          <w:rFonts w:ascii="Times New Roman" w:hAnsi="Times New Roman" w:eastAsia="方正仿宋_GBK" w:cs="Times New Roman"/>
        </w:rPr>
        <w:t>日常调度指挥工作</w:t>
      </w:r>
      <w:r>
        <w:rPr>
          <w:rFonts w:hint="eastAsia" w:ascii="Times New Roman" w:hAnsi="Times New Roman" w:eastAsia="方正仿宋_GBK" w:cs="Times New Roman"/>
        </w:rPr>
        <w:t>（</w:t>
      </w:r>
      <w:r>
        <w:rPr>
          <w:rFonts w:hint="eastAsia"/>
        </w:rPr>
        <w:t>附</w:t>
      </w:r>
      <w:r>
        <w:rPr>
          <w:rFonts w:hint="eastAsia" w:ascii="Times New Roman" w:hAnsi="Times New Roman" w:eastAsia="方正仿宋_GBK" w:cs="Times New Roman"/>
        </w:rPr>
        <w:t>件</w:t>
      </w:r>
      <w:r>
        <w:rPr>
          <w:rFonts w:hint="eastAsia"/>
        </w:rPr>
        <w:t>一</w:t>
      </w:r>
      <w:r>
        <w:rPr>
          <w:rFonts w:hint="eastAsia" w:ascii="Times New Roman" w:hAnsi="Times New Roman" w:eastAsia="方正仿宋_GBK" w:cs="Times New Roman"/>
        </w:rPr>
        <w:t>：竞赛系统所用站场图）</w:t>
      </w:r>
    </w:p>
    <w:p>
      <w:pPr>
        <w:pStyle w:val="7"/>
        <w:numPr>
          <w:ilvl w:val="0"/>
          <w:numId w:val="0"/>
        </w:numPr>
        <w:spacing w:line="590" w:lineRule="exact"/>
        <w:ind w:firstLine="643" w:firstLineChars="200"/>
        <w:jc w:val="both"/>
        <w:rPr>
          <w:rFonts w:ascii="Times New Roman" w:hAnsi="Times New Roman" w:eastAsia="方正仿宋_GBK" w:cs="Times New Roman"/>
          <w:bCs w:val="0"/>
          <w:color w:val="000000"/>
          <w:szCs w:val="32"/>
        </w:rPr>
      </w:pPr>
      <w:r>
        <w:rPr>
          <w:rFonts w:ascii="Times New Roman" w:hAnsi="Times New Roman" w:eastAsia="方正仿宋_GBK" w:cs="Times New Roman"/>
          <w:bCs w:val="0"/>
          <w:color w:val="000000"/>
          <w:szCs w:val="32"/>
        </w:rPr>
        <w:t>内容一：开展运营前检查</w:t>
      </w:r>
    </w:p>
    <w:p>
      <w:pPr>
        <w:adjustRightInd/>
        <w:snapToGrid/>
        <w:spacing w:line="590" w:lineRule="exact"/>
        <w:ind w:firstLine="640"/>
        <w:rPr>
          <w:rFonts w:ascii="Times New Roman" w:hAnsi="Times New Roman" w:eastAsia="方正仿宋_GBK" w:cs="Times New Roman"/>
          <w:szCs w:val="32"/>
        </w:rPr>
      </w:pPr>
      <w:r>
        <w:rPr>
          <w:rFonts w:ascii="Times New Roman" w:hAnsi="Times New Roman" w:eastAsia="方正仿宋_GBK" w:cs="Times New Roman"/>
          <w:szCs w:val="32"/>
        </w:rPr>
        <w:t>作业内容：调度员在运营前30分钟通知各联锁车站接收控制权试验道岔和进路功能。</w:t>
      </w:r>
    </w:p>
    <w:p>
      <w:pPr>
        <w:adjustRightInd/>
        <w:snapToGrid/>
        <w:spacing w:line="590" w:lineRule="exact"/>
        <w:ind w:firstLine="640"/>
        <w:rPr>
          <w:rFonts w:ascii="Times New Roman" w:hAnsi="Times New Roman" w:eastAsia="方正仿宋_GBK" w:cs="Times New Roman"/>
          <w:szCs w:val="32"/>
        </w:rPr>
      </w:pPr>
      <w:r>
        <w:rPr>
          <w:rFonts w:ascii="Times New Roman" w:hAnsi="Times New Roman" w:eastAsia="方正仿宋_GBK" w:cs="Times New Roman"/>
          <w:szCs w:val="32"/>
        </w:rPr>
        <w:t>完成标准：调度员按标准用语与车站值班员联控。</w:t>
      </w:r>
    </w:p>
    <w:tbl>
      <w:tblPr>
        <w:tblStyle w:val="31"/>
        <w:tblW w:w="5000" w:type="pct"/>
        <w:jc w:val="center"/>
        <w:tblLayout w:type="autofit"/>
        <w:tblCellMar>
          <w:top w:w="0" w:type="dxa"/>
          <w:left w:w="108" w:type="dxa"/>
          <w:bottom w:w="0" w:type="dxa"/>
          <w:right w:w="108" w:type="dxa"/>
        </w:tblCellMar>
      </w:tblPr>
      <w:tblGrid>
        <w:gridCol w:w="2316"/>
        <w:gridCol w:w="4323"/>
        <w:gridCol w:w="1785"/>
        <w:gridCol w:w="637"/>
      </w:tblGrid>
      <w:tr>
        <w:tblPrEx>
          <w:tblCellMar>
            <w:top w:w="0" w:type="dxa"/>
            <w:left w:w="108" w:type="dxa"/>
            <w:bottom w:w="0" w:type="dxa"/>
            <w:right w:w="108" w:type="dxa"/>
          </w:tblCellMar>
        </w:tblPrEx>
        <w:trPr>
          <w:trHeight w:val="315" w:hRule="atLeast"/>
          <w:jc w:val="center"/>
        </w:trPr>
        <w:tc>
          <w:tcPr>
            <w:tcW w:w="5000" w:type="pct"/>
            <w:gridSpan w:val="4"/>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b/>
                <w:bCs/>
                <w:kern w:val="0"/>
                <w:sz w:val="21"/>
                <w:szCs w:val="21"/>
              </w:rPr>
            </w:pPr>
            <w:r>
              <w:rPr>
                <w:rFonts w:hint="eastAsia" w:ascii="仿宋" w:hAnsi="仿宋" w:cs="仿宋"/>
                <w:b/>
                <w:bCs/>
                <w:kern w:val="0"/>
                <w:sz w:val="21"/>
                <w:szCs w:val="21"/>
              </w:rPr>
              <w:t>开展运营前检查</w:t>
            </w:r>
          </w:p>
        </w:tc>
      </w:tr>
      <w:tr>
        <w:tblPrEx>
          <w:tblCellMar>
            <w:top w:w="0" w:type="dxa"/>
            <w:left w:w="108" w:type="dxa"/>
            <w:bottom w:w="0" w:type="dxa"/>
            <w:right w:w="108" w:type="dxa"/>
          </w:tblCellMar>
        </w:tblPrEx>
        <w:trPr>
          <w:trHeight w:val="315" w:hRule="atLeast"/>
          <w:jc w:val="center"/>
        </w:trPr>
        <w:tc>
          <w:tcPr>
            <w:tcW w:w="597" w:type="pct"/>
            <w:tcBorders>
              <w:top w:val="nil"/>
              <w:left w:val="single" w:color="000000" w:sz="4" w:space="0"/>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作业程序</w:t>
            </w:r>
          </w:p>
        </w:tc>
        <w:tc>
          <w:tcPr>
            <w:tcW w:w="2734"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调度员作业内容</w:t>
            </w:r>
          </w:p>
        </w:tc>
        <w:tc>
          <w:tcPr>
            <w:tcW w:w="1333"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仿真系统</w:t>
            </w:r>
          </w:p>
        </w:tc>
        <w:tc>
          <w:tcPr>
            <w:tcW w:w="334" w:type="pct"/>
            <w:tcBorders>
              <w:top w:val="nil"/>
              <w:left w:val="single" w:color="000000" w:sz="4" w:space="0"/>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分数</w:t>
            </w:r>
          </w:p>
        </w:tc>
      </w:tr>
      <w:tr>
        <w:tblPrEx>
          <w:tblCellMar>
            <w:top w:w="0" w:type="dxa"/>
            <w:left w:w="108" w:type="dxa"/>
            <w:bottom w:w="0" w:type="dxa"/>
            <w:right w:w="108" w:type="dxa"/>
          </w:tblCellMar>
        </w:tblPrEx>
        <w:trPr>
          <w:trHeight w:val="634" w:hRule="atLeast"/>
          <w:jc w:val="center"/>
        </w:trPr>
        <w:tc>
          <w:tcPr>
            <w:tcW w:w="597"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场景建立</w:t>
            </w:r>
          </w:p>
        </w:tc>
        <w:tc>
          <w:tcPr>
            <w:tcW w:w="4067" w:type="pct"/>
            <w:gridSpan w:val="2"/>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正线施工结束，送电完成，调度员在运营前30分钟通知各单位开展运营前检查工作</w:t>
            </w:r>
          </w:p>
        </w:tc>
        <w:tc>
          <w:tcPr>
            <w:tcW w:w="334" w:type="pct"/>
            <w:tcBorders>
              <w:top w:val="nil"/>
              <w:left w:val="single" w:color="000000" w:sz="4" w:space="0"/>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108" w:hRule="atLeast"/>
          <w:jc w:val="center"/>
        </w:trPr>
        <w:tc>
          <w:tcPr>
            <w:tcW w:w="597" w:type="pct"/>
            <w:vMerge w:val="restar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与电力调度确认供电情况</w:t>
            </w:r>
          </w:p>
        </w:tc>
        <w:tc>
          <w:tcPr>
            <w:tcW w:w="2734"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调度电话按下电力调度按钮：“电调，现开始运营前检查，全线供电是否正常。”</w:t>
            </w:r>
          </w:p>
        </w:tc>
        <w:tc>
          <w:tcPr>
            <w:tcW w:w="1333"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single" w:color="000000" w:sz="4" w:space="0"/>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w:t>
            </w:r>
          </w:p>
        </w:tc>
      </w:tr>
      <w:tr>
        <w:tblPrEx>
          <w:tblCellMar>
            <w:top w:w="0" w:type="dxa"/>
            <w:left w:w="108" w:type="dxa"/>
            <w:bottom w:w="0" w:type="dxa"/>
            <w:right w:w="108" w:type="dxa"/>
          </w:tblCellMar>
        </w:tblPrEx>
        <w:trPr>
          <w:trHeight w:val="670" w:hRule="atLeast"/>
          <w:jc w:val="center"/>
        </w:trPr>
        <w:tc>
          <w:tcPr>
            <w:tcW w:w="597"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734"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333"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仿真系统：“供电正常。”</w:t>
            </w:r>
          </w:p>
        </w:tc>
        <w:tc>
          <w:tcPr>
            <w:tcW w:w="334" w:type="pct"/>
            <w:tcBorders>
              <w:top w:val="nil"/>
              <w:left w:val="single" w:color="000000" w:sz="4" w:space="0"/>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085" w:hRule="atLeast"/>
          <w:jc w:val="center"/>
        </w:trPr>
        <w:tc>
          <w:tcPr>
            <w:tcW w:w="597" w:type="pct"/>
            <w:vMerge w:val="restar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指定车站复诵</w:t>
            </w:r>
          </w:p>
        </w:tc>
        <w:tc>
          <w:tcPr>
            <w:tcW w:w="2734"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调度电话按下全线车站按钮：“全线各站都有，现开始运营前检查，请会展中心站复诵。”</w:t>
            </w:r>
          </w:p>
        </w:tc>
        <w:tc>
          <w:tcPr>
            <w:tcW w:w="1333"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single" w:color="000000" w:sz="4" w:space="0"/>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w:t>
            </w:r>
          </w:p>
        </w:tc>
      </w:tr>
      <w:tr>
        <w:tblPrEx>
          <w:tblCellMar>
            <w:top w:w="0" w:type="dxa"/>
            <w:left w:w="108" w:type="dxa"/>
            <w:bottom w:w="0" w:type="dxa"/>
            <w:right w:w="108" w:type="dxa"/>
          </w:tblCellMar>
        </w:tblPrEx>
        <w:trPr>
          <w:trHeight w:val="711" w:hRule="atLeast"/>
          <w:jc w:val="center"/>
        </w:trPr>
        <w:tc>
          <w:tcPr>
            <w:tcW w:w="597"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734"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333"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仿真系统：“会展中心站复诵”</w:t>
            </w:r>
          </w:p>
        </w:tc>
        <w:tc>
          <w:tcPr>
            <w:tcW w:w="334" w:type="pct"/>
            <w:tcBorders>
              <w:top w:val="nil"/>
              <w:left w:val="single" w:color="000000" w:sz="4" w:space="0"/>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689" w:hRule="atLeast"/>
          <w:jc w:val="center"/>
        </w:trPr>
        <w:tc>
          <w:tcPr>
            <w:tcW w:w="597" w:type="pct"/>
            <w:vMerge w:val="restar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发布运营前检查命令</w:t>
            </w:r>
          </w:p>
        </w:tc>
        <w:tc>
          <w:tcPr>
            <w:tcW w:w="2734"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调度发令：“现核对日期、时间、时刻表，现在是XX年XX月XX日XX时XX分XX秒，今日执行N11时刻表。”</w:t>
            </w:r>
            <w:r>
              <w:rPr>
                <w:rFonts w:hint="eastAsia" w:ascii="仿宋" w:hAnsi="仿宋" w:cs="仿宋"/>
                <w:kern w:val="0"/>
                <w:sz w:val="21"/>
                <w:szCs w:val="21"/>
              </w:rPr>
              <w:br w:type="textWrapping"/>
            </w:r>
            <w:r>
              <w:rPr>
                <w:rFonts w:hint="eastAsia" w:ascii="仿宋" w:hAnsi="仿宋" w:cs="仿宋"/>
                <w:kern w:val="0"/>
                <w:sz w:val="21"/>
                <w:szCs w:val="21"/>
              </w:rPr>
              <w:t>（备注：日期为比赛当天时间，时间看ATS系统左上角显示的时间）</w:t>
            </w:r>
          </w:p>
        </w:tc>
        <w:tc>
          <w:tcPr>
            <w:tcW w:w="1333"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single" w:color="000000" w:sz="4" w:space="0"/>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w:t>
            </w:r>
          </w:p>
        </w:tc>
      </w:tr>
      <w:tr>
        <w:tblPrEx>
          <w:tblCellMar>
            <w:top w:w="0" w:type="dxa"/>
            <w:left w:w="108" w:type="dxa"/>
            <w:bottom w:w="0" w:type="dxa"/>
            <w:right w:w="108" w:type="dxa"/>
          </w:tblCellMar>
        </w:tblPrEx>
        <w:trPr>
          <w:trHeight w:val="889" w:hRule="atLeast"/>
          <w:jc w:val="center"/>
        </w:trPr>
        <w:tc>
          <w:tcPr>
            <w:tcW w:w="597"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734"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333"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仿真系统：“日期，时间一致，今日执行N11时刻表”</w:t>
            </w:r>
          </w:p>
        </w:tc>
        <w:tc>
          <w:tcPr>
            <w:tcW w:w="334" w:type="pct"/>
            <w:tcBorders>
              <w:top w:val="nil"/>
              <w:left w:val="single" w:color="000000" w:sz="4" w:space="0"/>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304" w:hRule="atLeast"/>
          <w:jc w:val="center"/>
        </w:trPr>
        <w:tc>
          <w:tcPr>
            <w:tcW w:w="597"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734"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行调发令：“各联锁站收取控制权，试验道岔和进路，其他站按规定开展行车设备检查，操作完毕上交控制权，行调101”</w:t>
            </w:r>
          </w:p>
        </w:tc>
        <w:tc>
          <w:tcPr>
            <w:tcW w:w="1333"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single" w:color="000000" w:sz="4" w:space="0"/>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w:t>
            </w:r>
          </w:p>
        </w:tc>
      </w:tr>
      <w:tr>
        <w:tblPrEx>
          <w:tblCellMar>
            <w:top w:w="0" w:type="dxa"/>
            <w:left w:w="108" w:type="dxa"/>
            <w:bottom w:w="0" w:type="dxa"/>
            <w:right w:w="108" w:type="dxa"/>
          </w:tblCellMar>
        </w:tblPrEx>
        <w:trPr>
          <w:trHeight w:val="1096" w:hRule="atLeast"/>
          <w:jc w:val="center"/>
        </w:trPr>
        <w:tc>
          <w:tcPr>
            <w:tcW w:w="597"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734"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333"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仿真系统：“各联锁站收取控制权，试验道岔和进路，其他站按规定开展行车设备检查，操作完毕上交控制权，车站收到”</w:t>
            </w:r>
          </w:p>
        </w:tc>
        <w:tc>
          <w:tcPr>
            <w:tcW w:w="334" w:type="pct"/>
            <w:tcBorders>
              <w:top w:val="nil"/>
              <w:left w:val="single" w:color="000000" w:sz="4" w:space="0"/>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812" w:hRule="atLeast"/>
          <w:jc w:val="center"/>
        </w:trPr>
        <w:tc>
          <w:tcPr>
            <w:tcW w:w="597" w:type="pct"/>
            <w:vMerge w:val="restar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与场段调度确认电客车与司机准备情况</w:t>
            </w:r>
          </w:p>
        </w:tc>
        <w:tc>
          <w:tcPr>
            <w:tcW w:w="2734"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调度电话按下火车东站场调和会展中心场调按钮：“现开始运营前检查，请火车东站场调复诵”</w:t>
            </w:r>
          </w:p>
        </w:tc>
        <w:tc>
          <w:tcPr>
            <w:tcW w:w="1333"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single" w:color="000000" w:sz="4" w:space="0"/>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w:t>
            </w:r>
          </w:p>
        </w:tc>
      </w:tr>
      <w:tr>
        <w:tblPrEx>
          <w:tblCellMar>
            <w:top w:w="0" w:type="dxa"/>
            <w:left w:w="108" w:type="dxa"/>
            <w:bottom w:w="0" w:type="dxa"/>
            <w:right w:w="108" w:type="dxa"/>
          </w:tblCellMar>
        </w:tblPrEx>
        <w:trPr>
          <w:trHeight w:val="930" w:hRule="atLeast"/>
          <w:jc w:val="center"/>
        </w:trPr>
        <w:tc>
          <w:tcPr>
            <w:tcW w:w="597"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734"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333"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仿真系统：“现开始运营前检查”</w:t>
            </w:r>
          </w:p>
        </w:tc>
        <w:tc>
          <w:tcPr>
            <w:tcW w:w="334" w:type="pct"/>
            <w:tcBorders>
              <w:top w:val="nil"/>
              <w:left w:val="single" w:color="000000" w:sz="4" w:space="0"/>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2015" w:hRule="atLeast"/>
          <w:jc w:val="center"/>
        </w:trPr>
        <w:tc>
          <w:tcPr>
            <w:tcW w:w="597"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734"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行调：“现核对日期、时间、时刻表，现在是XX年XX月XX日XX时XX分XX秒，今日执行N11时刻表，电客车和司机是否准备完毕”</w:t>
            </w:r>
            <w:r>
              <w:rPr>
                <w:rFonts w:hint="eastAsia" w:ascii="仿宋" w:hAnsi="仿宋" w:cs="仿宋"/>
                <w:kern w:val="0"/>
                <w:sz w:val="21"/>
                <w:szCs w:val="21"/>
              </w:rPr>
              <w:br w:type="textWrapping"/>
            </w:r>
            <w:r>
              <w:rPr>
                <w:rFonts w:hint="eastAsia" w:ascii="仿宋" w:hAnsi="仿宋" w:cs="仿宋"/>
                <w:kern w:val="0"/>
                <w:sz w:val="21"/>
                <w:szCs w:val="21"/>
              </w:rPr>
              <w:t>（备注：日期为比赛当天时间，时间看ATS系统左上角显示的时间）</w:t>
            </w:r>
          </w:p>
        </w:tc>
        <w:tc>
          <w:tcPr>
            <w:tcW w:w="1333"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single" w:color="000000" w:sz="4" w:space="0"/>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w:t>
            </w:r>
          </w:p>
        </w:tc>
      </w:tr>
      <w:tr>
        <w:tblPrEx>
          <w:tblCellMar>
            <w:top w:w="0" w:type="dxa"/>
            <w:left w:w="108" w:type="dxa"/>
            <w:bottom w:w="0" w:type="dxa"/>
            <w:right w:w="108" w:type="dxa"/>
          </w:tblCellMar>
        </w:tblPrEx>
        <w:trPr>
          <w:trHeight w:val="770" w:hRule="atLeast"/>
          <w:jc w:val="center"/>
        </w:trPr>
        <w:tc>
          <w:tcPr>
            <w:tcW w:w="597"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734"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333"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仿真系统：“日期，时间一致，今日执行N11时刻表，电客车和司机已准备完毕。”</w:t>
            </w:r>
          </w:p>
        </w:tc>
        <w:tc>
          <w:tcPr>
            <w:tcW w:w="334" w:type="pct"/>
            <w:tcBorders>
              <w:top w:val="nil"/>
              <w:left w:val="single" w:color="000000" w:sz="4" w:space="0"/>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496" w:hRule="atLeast"/>
          <w:jc w:val="center"/>
        </w:trPr>
        <w:tc>
          <w:tcPr>
            <w:tcW w:w="597" w:type="pct"/>
            <w:vMerge w:val="restart"/>
            <w:tcBorders>
              <w:top w:val="nil"/>
              <w:left w:val="single" w:color="000000" w:sz="4" w:space="0"/>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联锁车站汇报检查结果</w:t>
            </w:r>
          </w:p>
        </w:tc>
        <w:tc>
          <w:tcPr>
            <w:tcW w:w="2734"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333"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（本次比赛以体育中心站为例，其他联锁车站默认已汇报完毕）</w:t>
            </w:r>
            <w:r>
              <w:rPr>
                <w:rFonts w:hint="eastAsia" w:ascii="仿宋" w:hAnsi="仿宋" w:cs="仿宋"/>
                <w:kern w:val="0"/>
                <w:sz w:val="21"/>
                <w:szCs w:val="21"/>
              </w:rPr>
              <w:br w:type="textWrapping"/>
            </w:r>
            <w:r>
              <w:rPr>
                <w:rFonts w:hint="eastAsia" w:ascii="仿宋" w:hAnsi="仿宋" w:cs="仿宋"/>
                <w:kern w:val="0"/>
                <w:sz w:val="21"/>
                <w:szCs w:val="21"/>
              </w:rPr>
              <w:t>体育中心站呼叫行调：行调，体育中心站道岔、进路实验好，控制权已上交。</w:t>
            </w:r>
          </w:p>
        </w:tc>
        <w:tc>
          <w:tcPr>
            <w:tcW w:w="334" w:type="pct"/>
            <w:tcBorders>
              <w:top w:val="nil"/>
              <w:left w:val="single" w:color="000000" w:sz="4" w:space="0"/>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315" w:hRule="atLeast"/>
          <w:jc w:val="center"/>
        </w:trPr>
        <w:tc>
          <w:tcPr>
            <w:tcW w:w="597"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734"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行调：体育中心站道岔、进路实验好，控制权已上交，收到</w:t>
            </w:r>
          </w:p>
        </w:tc>
        <w:tc>
          <w:tcPr>
            <w:tcW w:w="1333"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single" w:color="000000" w:sz="4" w:space="0"/>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w:t>
            </w:r>
          </w:p>
        </w:tc>
      </w:tr>
      <w:tr>
        <w:tblPrEx>
          <w:tblCellMar>
            <w:top w:w="0" w:type="dxa"/>
            <w:left w:w="108" w:type="dxa"/>
            <w:bottom w:w="0" w:type="dxa"/>
            <w:right w:w="108" w:type="dxa"/>
          </w:tblCellMar>
        </w:tblPrEx>
        <w:trPr>
          <w:trHeight w:val="1363" w:hRule="atLeast"/>
          <w:jc w:val="center"/>
        </w:trPr>
        <w:tc>
          <w:tcPr>
            <w:tcW w:w="597"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734"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333"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体育中心站：体育中心站人员已全部到位，线路出清，屏蔽门测试正常，通信设备良好，具备行车条件</w:t>
            </w:r>
          </w:p>
        </w:tc>
        <w:tc>
          <w:tcPr>
            <w:tcW w:w="334" w:type="pct"/>
            <w:tcBorders>
              <w:top w:val="nil"/>
              <w:left w:val="single" w:color="000000" w:sz="4" w:space="0"/>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611" w:hRule="atLeast"/>
          <w:jc w:val="center"/>
        </w:trPr>
        <w:tc>
          <w:tcPr>
            <w:tcW w:w="597"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734"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行调：“体育中心站人员已全部到位，线路出清，屏蔽门测试正常，通信设备良好，具备行车条件，收到。”</w:t>
            </w:r>
          </w:p>
        </w:tc>
        <w:tc>
          <w:tcPr>
            <w:tcW w:w="1333"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single" w:color="000000" w:sz="4" w:space="0"/>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w:t>
            </w:r>
          </w:p>
        </w:tc>
      </w:tr>
      <w:tr>
        <w:tblPrEx>
          <w:tblCellMar>
            <w:top w:w="0" w:type="dxa"/>
            <w:left w:w="108" w:type="dxa"/>
            <w:bottom w:w="0" w:type="dxa"/>
            <w:right w:w="108" w:type="dxa"/>
          </w:tblCellMar>
        </w:tblPrEx>
        <w:trPr>
          <w:trHeight w:val="315" w:hRule="atLeast"/>
          <w:jc w:val="center"/>
        </w:trPr>
        <w:tc>
          <w:tcPr>
            <w:tcW w:w="597" w:type="pct"/>
            <w:vMerge w:val="restart"/>
            <w:tcBorders>
              <w:top w:val="nil"/>
              <w:left w:val="single" w:color="000000" w:sz="4" w:space="0"/>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收回联锁区控制权</w:t>
            </w:r>
          </w:p>
        </w:tc>
        <w:tc>
          <w:tcPr>
            <w:tcW w:w="2734"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行调在ATS上操作请求中控，收回体育中心站控制权</w:t>
            </w:r>
          </w:p>
        </w:tc>
        <w:tc>
          <w:tcPr>
            <w:tcW w:w="1333"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single" w:color="000000" w:sz="4" w:space="0"/>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w:t>
            </w:r>
          </w:p>
        </w:tc>
      </w:tr>
      <w:tr>
        <w:tblPrEx>
          <w:tblCellMar>
            <w:top w:w="0" w:type="dxa"/>
            <w:left w:w="108" w:type="dxa"/>
            <w:bottom w:w="0" w:type="dxa"/>
            <w:right w:w="108" w:type="dxa"/>
          </w:tblCellMar>
        </w:tblPrEx>
        <w:trPr>
          <w:trHeight w:val="315" w:hRule="atLeast"/>
          <w:jc w:val="center"/>
        </w:trPr>
        <w:tc>
          <w:tcPr>
            <w:tcW w:w="597"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734" w:type="pct"/>
            <w:tcBorders>
              <w:top w:val="nil"/>
              <w:left w:val="nil"/>
              <w:bottom w:val="nil"/>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行调口呼：体育中心站中控转换完毕</w:t>
            </w:r>
          </w:p>
        </w:tc>
        <w:tc>
          <w:tcPr>
            <w:tcW w:w="1333" w:type="pct"/>
            <w:tcBorders>
              <w:top w:val="nil"/>
              <w:left w:val="nil"/>
              <w:bottom w:val="nil"/>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single" w:color="000000" w:sz="4" w:space="0"/>
              <w:bottom w:val="nil"/>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w:t>
            </w:r>
          </w:p>
        </w:tc>
      </w:tr>
      <w:tr>
        <w:tblPrEx>
          <w:tblCellMar>
            <w:top w:w="0" w:type="dxa"/>
            <w:left w:w="108" w:type="dxa"/>
            <w:bottom w:w="0" w:type="dxa"/>
            <w:right w:w="108" w:type="dxa"/>
          </w:tblCellMar>
        </w:tblPrEx>
        <w:trPr>
          <w:trHeight w:val="315" w:hRule="atLeast"/>
          <w:jc w:val="center"/>
        </w:trPr>
        <w:tc>
          <w:tcPr>
            <w:tcW w:w="4665" w:type="pct"/>
            <w:gridSpan w:val="3"/>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334" w:type="pct"/>
            <w:tcBorders>
              <w:top w:val="single" w:color="auto" w:sz="4" w:space="0"/>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100</w:t>
            </w:r>
          </w:p>
        </w:tc>
      </w:tr>
    </w:tbl>
    <w:p>
      <w:pPr>
        <w:pStyle w:val="7"/>
        <w:numPr>
          <w:ilvl w:val="0"/>
          <w:numId w:val="0"/>
        </w:numPr>
        <w:spacing w:line="590" w:lineRule="exact"/>
        <w:ind w:firstLine="643" w:firstLineChars="200"/>
        <w:jc w:val="both"/>
        <w:rPr>
          <w:rFonts w:ascii="Times New Roman" w:hAnsi="Times New Roman" w:eastAsia="方正仿宋_GBK" w:cs="Times New Roman"/>
          <w:bCs w:val="0"/>
          <w:color w:val="000000"/>
          <w:szCs w:val="32"/>
        </w:rPr>
      </w:pPr>
      <w:r>
        <w:rPr>
          <w:rFonts w:ascii="Times New Roman" w:hAnsi="Times New Roman" w:eastAsia="方正仿宋_GBK" w:cs="Times New Roman"/>
          <w:bCs w:val="0"/>
          <w:color w:val="000000"/>
          <w:szCs w:val="32"/>
        </w:rPr>
        <w:t>内容</w:t>
      </w:r>
      <w:r>
        <w:t>二</w:t>
      </w:r>
      <w:r>
        <w:rPr>
          <w:rFonts w:ascii="Times New Roman" w:hAnsi="Times New Roman" w:eastAsia="方正仿宋_GBK" w:cs="Times New Roman"/>
          <w:bCs w:val="0"/>
          <w:color w:val="000000"/>
          <w:szCs w:val="32"/>
        </w:rPr>
        <w:t>：</w:t>
      </w:r>
      <w:r>
        <w:t>组织轧道列车出段</w:t>
      </w:r>
    </w:p>
    <w:p>
      <w:pPr>
        <w:adjustRightInd/>
        <w:snapToGrid/>
        <w:spacing w:line="590" w:lineRule="exact"/>
        <w:ind w:firstLine="640"/>
        <w:rPr>
          <w:rFonts w:ascii="Times New Roman" w:hAnsi="Times New Roman" w:eastAsia="方正仿宋_GBK" w:cs="Times New Roman"/>
          <w:szCs w:val="32"/>
        </w:rPr>
      </w:pPr>
      <w:r>
        <w:rPr>
          <w:rFonts w:ascii="Times New Roman" w:hAnsi="Times New Roman" w:eastAsia="方正仿宋_GBK" w:cs="Times New Roman"/>
          <w:szCs w:val="32"/>
        </w:rPr>
        <w:t>作业内容：调度员按照当日加载的列车运行图，在ATS上排列出段进路组织列车进行正线。</w:t>
      </w:r>
    </w:p>
    <w:p>
      <w:pPr>
        <w:adjustRightInd/>
        <w:snapToGrid/>
        <w:spacing w:line="590" w:lineRule="exact"/>
        <w:ind w:firstLine="640"/>
        <w:rPr>
          <w:rFonts w:ascii="Times New Roman" w:hAnsi="Times New Roman" w:eastAsia="方正仿宋_GBK" w:cs="Times New Roman"/>
          <w:szCs w:val="32"/>
        </w:rPr>
      </w:pPr>
      <w:r>
        <w:rPr>
          <w:rFonts w:ascii="Times New Roman" w:hAnsi="Times New Roman" w:eastAsia="方正仿宋_GBK" w:cs="Times New Roman"/>
          <w:szCs w:val="32"/>
        </w:rPr>
        <w:t>完成标准：调度员手指口呼确认进路排列成功，按标准用语与车辆调度、列车司机联控。</w:t>
      </w:r>
    </w:p>
    <w:tbl>
      <w:tblPr>
        <w:tblStyle w:val="3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31"/>
        <w:gridCol w:w="4402"/>
        <w:gridCol w:w="289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trPr>
        <w:tc>
          <w:tcPr>
            <w:tcW w:w="5000" w:type="pct"/>
            <w:gridSpan w:val="4"/>
            <w:shd w:val="clear" w:color="auto" w:fill="auto"/>
            <w:noWrap/>
            <w:vAlign w:val="center"/>
          </w:tcPr>
          <w:p>
            <w:pPr>
              <w:widowControl/>
              <w:adjustRightInd/>
              <w:snapToGrid/>
              <w:spacing w:line="240" w:lineRule="auto"/>
              <w:ind w:firstLine="0" w:firstLineChars="0"/>
              <w:jc w:val="center"/>
              <w:rPr>
                <w:rFonts w:ascii="仿宋" w:hAnsi="仿宋" w:cs="仿宋"/>
                <w:b/>
                <w:bCs/>
                <w:kern w:val="0"/>
                <w:sz w:val="21"/>
                <w:szCs w:val="21"/>
              </w:rPr>
            </w:pPr>
            <w:r>
              <w:rPr>
                <w:rFonts w:hint="eastAsia" w:ascii="仿宋" w:hAnsi="仿宋" w:cs="仿宋"/>
                <w:b/>
                <w:bCs/>
                <w:kern w:val="0"/>
                <w:sz w:val="21"/>
                <w:szCs w:val="21"/>
              </w:rPr>
              <w:t>组织轧道列车出段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trPr>
        <w:tc>
          <w:tcPr>
            <w:tcW w:w="629"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作业程序</w:t>
            </w:r>
          </w:p>
        </w:tc>
        <w:tc>
          <w:tcPr>
            <w:tcW w:w="2434"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调度员作业内容</w:t>
            </w:r>
          </w:p>
        </w:tc>
        <w:tc>
          <w:tcPr>
            <w:tcW w:w="1600"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仿真系统</w:t>
            </w:r>
          </w:p>
        </w:tc>
        <w:tc>
          <w:tcPr>
            <w:tcW w:w="334"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分数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0" w:hRule="atLeast"/>
        </w:trPr>
        <w:tc>
          <w:tcPr>
            <w:tcW w:w="629"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场景建立</w:t>
            </w:r>
          </w:p>
        </w:tc>
        <w:tc>
          <w:tcPr>
            <w:tcW w:w="2434"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1600"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调度员按照当日加载的列车运行图，在ATS上排列出段进路组织轧道列车进入正线</w:t>
            </w:r>
          </w:p>
        </w:tc>
        <w:tc>
          <w:tcPr>
            <w:tcW w:w="334"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trPr>
        <w:tc>
          <w:tcPr>
            <w:tcW w:w="629"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排列出库进路</w:t>
            </w:r>
          </w:p>
        </w:tc>
        <w:tc>
          <w:tcPr>
            <w:tcW w:w="2434"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行调操作ATS系统终端，排列列车出库进路S2402-S2404</w:t>
            </w:r>
          </w:p>
        </w:tc>
        <w:tc>
          <w:tcPr>
            <w:tcW w:w="1600"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334"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0" w:hRule="atLeast"/>
        </w:trPr>
        <w:tc>
          <w:tcPr>
            <w:tcW w:w="629" w:type="pct"/>
            <w:vMerge w:val="restar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与场段确认发车条件</w:t>
            </w:r>
          </w:p>
        </w:tc>
        <w:tc>
          <w:tcPr>
            <w:tcW w:w="2434"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调度电话呼叫场段调度：“现正线具备接车条件，按计划发车，行调101”</w:t>
            </w:r>
          </w:p>
        </w:tc>
        <w:tc>
          <w:tcPr>
            <w:tcW w:w="1600"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trPr>
        <w:tc>
          <w:tcPr>
            <w:tcW w:w="629"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434"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1600"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仿真系统语音：“现正线具备接车条件，按计划发车，收到”</w:t>
            </w:r>
          </w:p>
        </w:tc>
        <w:tc>
          <w:tcPr>
            <w:tcW w:w="334"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trPr>
        <w:tc>
          <w:tcPr>
            <w:tcW w:w="629" w:type="pct"/>
            <w:vMerge w:val="restar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p>
            <w:pPr>
              <w:spacing w:line="240" w:lineRule="auto"/>
              <w:ind w:firstLine="0" w:firstLineChars="0"/>
              <w:rPr>
                <w:rFonts w:ascii="仿宋" w:hAnsi="仿宋" w:cs="仿宋"/>
                <w:kern w:val="0"/>
                <w:sz w:val="21"/>
                <w:szCs w:val="21"/>
              </w:rPr>
            </w:pPr>
            <w:r>
              <w:rPr>
                <w:rFonts w:hint="eastAsia" w:ascii="仿宋" w:hAnsi="仿宋" w:cs="仿宋"/>
                <w:kern w:val="0"/>
                <w:sz w:val="21"/>
                <w:szCs w:val="21"/>
              </w:rPr>
              <w:t>核对列车信息并组织轧道</w:t>
            </w:r>
          </w:p>
        </w:tc>
        <w:tc>
          <w:tcPr>
            <w:tcW w:w="2434"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1600"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仿真系统显示列车已到达转换轨I道</w:t>
            </w:r>
          </w:p>
        </w:tc>
        <w:tc>
          <w:tcPr>
            <w:tcW w:w="334"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5" w:hRule="atLeast"/>
        </w:trPr>
        <w:tc>
          <w:tcPr>
            <w:tcW w:w="629" w:type="pct"/>
            <w:vMerge w:val="continue"/>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p>
        </w:tc>
        <w:tc>
          <w:tcPr>
            <w:tcW w:w="2434"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00"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仿真系统语音：“行调，11702次0102车已在转换轨I道停妥，当前模式ATP-CBTC，司机201”</w:t>
            </w:r>
          </w:p>
        </w:tc>
        <w:tc>
          <w:tcPr>
            <w:tcW w:w="334"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9" w:hRule="atLeast"/>
        </w:trPr>
        <w:tc>
          <w:tcPr>
            <w:tcW w:w="629"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434"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无线电台呼叫转换轨I道的11702次：“11702次0102车已在转换轨I道停妥，当前模式ATP-CBTC，核对无误，117次现凭推荐速度动车，按时刻表执行轧道任务，行调101”</w:t>
            </w:r>
          </w:p>
        </w:tc>
        <w:tc>
          <w:tcPr>
            <w:tcW w:w="1600"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trPr>
        <w:tc>
          <w:tcPr>
            <w:tcW w:w="629"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434" w:type="pct"/>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00"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仿真系统语音：“11702次现凭推荐速度动车，按时刻表执行轧道任务，司机收到，司机201”</w:t>
            </w:r>
          </w:p>
        </w:tc>
        <w:tc>
          <w:tcPr>
            <w:tcW w:w="334"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bl>
    <w:p>
      <w:pPr>
        <w:pStyle w:val="2"/>
        <w:ind w:left="0" w:leftChars="0" w:right="2240" w:firstLine="0" w:firstLineChars="0"/>
      </w:pPr>
    </w:p>
    <w:p>
      <w:pPr>
        <w:pStyle w:val="7"/>
        <w:numPr>
          <w:ilvl w:val="0"/>
          <w:numId w:val="0"/>
        </w:numPr>
        <w:spacing w:line="590" w:lineRule="exact"/>
        <w:ind w:firstLine="643" w:firstLineChars="200"/>
        <w:jc w:val="both"/>
        <w:rPr>
          <w:rFonts w:ascii="Times New Roman" w:hAnsi="Times New Roman" w:eastAsia="方正仿宋_GBK" w:cs="Times New Roman"/>
          <w:bCs w:val="0"/>
          <w:color w:val="000000"/>
          <w:szCs w:val="32"/>
        </w:rPr>
      </w:pPr>
      <w:r>
        <w:rPr>
          <w:rFonts w:ascii="Times New Roman" w:hAnsi="Times New Roman" w:eastAsia="方正仿宋_GBK" w:cs="Times New Roman"/>
          <w:bCs w:val="0"/>
          <w:color w:val="000000"/>
          <w:szCs w:val="32"/>
        </w:rPr>
        <w:t>内容三：组织列车加开</w:t>
      </w:r>
    </w:p>
    <w:p>
      <w:pPr>
        <w:adjustRightInd/>
        <w:snapToGrid/>
        <w:spacing w:line="590" w:lineRule="exact"/>
        <w:ind w:firstLine="640"/>
        <w:rPr>
          <w:rFonts w:ascii="Times New Roman" w:hAnsi="Times New Roman" w:eastAsia="方正仿宋_GBK" w:cs="Times New Roman"/>
          <w:szCs w:val="32"/>
        </w:rPr>
      </w:pPr>
      <w:r>
        <w:rPr>
          <w:rFonts w:ascii="Times New Roman" w:hAnsi="Times New Roman" w:eastAsia="方正仿宋_GBK" w:cs="Times New Roman"/>
          <w:szCs w:val="32"/>
        </w:rPr>
        <w:t>作业内容：为应对次日节假日期间B站大客流，需提前组织A站折返线的列车至B站存车线转备用，沿途跳停。</w:t>
      </w:r>
    </w:p>
    <w:p>
      <w:pPr>
        <w:adjustRightInd/>
        <w:snapToGrid/>
        <w:spacing w:line="590" w:lineRule="exact"/>
        <w:ind w:firstLine="640"/>
        <w:rPr>
          <w:rFonts w:ascii="Times New Roman" w:hAnsi="Times New Roman" w:eastAsia="方正仿宋_GBK" w:cs="Times New Roman"/>
          <w:szCs w:val="32"/>
        </w:rPr>
      </w:pPr>
      <w:r>
        <w:rPr>
          <w:rFonts w:ascii="Times New Roman" w:hAnsi="Times New Roman" w:eastAsia="方正仿宋_GBK" w:cs="Times New Roman"/>
          <w:szCs w:val="32"/>
        </w:rPr>
        <w:t>完成标准：调度员手指口呼确认列车车次变更、进路排列成功，按标准用语与车站行车值班员、列车司机联控。</w:t>
      </w:r>
    </w:p>
    <w:tbl>
      <w:tblPr>
        <w:tblStyle w:val="31"/>
        <w:tblW w:w="5000" w:type="pct"/>
        <w:tblInd w:w="0" w:type="dxa"/>
        <w:tblLayout w:type="autofit"/>
        <w:tblCellMar>
          <w:top w:w="0" w:type="dxa"/>
          <w:left w:w="108" w:type="dxa"/>
          <w:bottom w:w="0" w:type="dxa"/>
          <w:right w:w="108" w:type="dxa"/>
        </w:tblCellMar>
      </w:tblPr>
      <w:tblGrid>
        <w:gridCol w:w="1051"/>
        <w:gridCol w:w="4459"/>
        <w:gridCol w:w="2915"/>
        <w:gridCol w:w="636"/>
      </w:tblGrid>
      <w:tr>
        <w:tblPrEx>
          <w:tblCellMar>
            <w:top w:w="0" w:type="dxa"/>
            <w:left w:w="108" w:type="dxa"/>
            <w:bottom w:w="0" w:type="dxa"/>
            <w:right w:w="108" w:type="dxa"/>
          </w:tblCellMar>
        </w:tblPrEx>
        <w:trPr>
          <w:trHeight w:val="315" w:hRule="atLeast"/>
        </w:trPr>
        <w:tc>
          <w:tcPr>
            <w:tcW w:w="5000" w:type="pct"/>
            <w:gridSpan w:val="4"/>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b/>
                <w:bCs/>
                <w:kern w:val="0"/>
                <w:sz w:val="21"/>
                <w:szCs w:val="21"/>
              </w:rPr>
            </w:pPr>
            <w:r>
              <w:rPr>
                <w:rFonts w:hint="eastAsia" w:ascii="仿宋" w:hAnsi="仿宋" w:cs="仿宋"/>
                <w:b/>
                <w:bCs/>
                <w:kern w:val="0"/>
                <w:sz w:val="21"/>
                <w:szCs w:val="21"/>
              </w:rPr>
              <w:t>组织列车加开</w:t>
            </w:r>
          </w:p>
        </w:tc>
      </w:tr>
      <w:tr>
        <w:tblPrEx>
          <w:tblCellMar>
            <w:top w:w="0" w:type="dxa"/>
            <w:left w:w="108" w:type="dxa"/>
            <w:bottom w:w="0" w:type="dxa"/>
            <w:right w:w="108" w:type="dxa"/>
          </w:tblCellMar>
        </w:tblPrEx>
        <w:trPr>
          <w:trHeight w:val="315" w:hRule="atLeast"/>
        </w:trPr>
        <w:tc>
          <w:tcPr>
            <w:tcW w:w="592"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作业程序</w:t>
            </w:r>
          </w:p>
        </w:tc>
        <w:tc>
          <w:tcPr>
            <w:tcW w:w="2472"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调度员作业内容</w:t>
            </w:r>
          </w:p>
        </w:tc>
        <w:tc>
          <w:tcPr>
            <w:tcW w:w="1619"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仿真系统</w:t>
            </w:r>
          </w:p>
        </w:tc>
        <w:tc>
          <w:tcPr>
            <w:tcW w:w="315"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分数</w:t>
            </w:r>
          </w:p>
        </w:tc>
      </w:tr>
      <w:tr>
        <w:tblPrEx>
          <w:tblCellMar>
            <w:top w:w="0" w:type="dxa"/>
            <w:left w:w="108" w:type="dxa"/>
            <w:bottom w:w="0" w:type="dxa"/>
            <w:right w:w="108" w:type="dxa"/>
          </w:tblCellMar>
        </w:tblPrEx>
        <w:trPr>
          <w:trHeight w:val="1470" w:hRule="atLeast"/>
        </w:trPr>
        <w:tc>
          <w:tcPr>
            <w:tcW w:w="592"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场景建立</w:t>
            </w:r>
          </w:p>
        </w:tc>
        <w:tc>
          <w:tcPr>
            <w:tcW w:w="2472"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1619"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为应对次日节假日期间体育中心站大客流，需提前组织火车东站折返线I道的列车至体育中心站存车线转备用，沿途跳停</w:t>
            </w:r>
          </w:p>
        </w:tc>
        <w:tc>
          <w:tcPr>
            <w:tcW w:w="315"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630" w:hRule="atLeast"/>
        </w:trPr>
        <w:tc>
          <w:tcPr>
            <w:tcW w:w="592"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信号操作</w:t>
            </w:r>
          </w:p>
        </w:tc>
        <w:tc>
          <w:tcPr>
            <w:tcW w:w="2472"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行调在ATS系统终端操作变更备用车列车，服务号车次为971次，目的码093</w:t>
            </w:r>
          </w:p>
        </w:tc>
        <w:tc>
          <w:tcPr>
            <w:tcW w:w="1619"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15"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40</w:t>
            </w:r>
          </w:p>
        </w:tc>
      </w:tr>
      <w:tr>
        <w:tblPrEx>
          <w:tblCellMar>
            <w:top w:w="0" w:type="dxa"/>
            <w:left w:w="108" w:type="dxa"/>
            <w:bottom w:w="0" w:type="dxa"/>
            <w:right w:w="108" w:type="dxa"/>
          </w:tblCellMar>
        </w:tblPrEx>
        <w:trPr>
          <w:trHeight w:val="765" w:hRule="atLeast"/>
        </w:trPr>
        <w:tc>
          <w:tcPr>
            <w:tcW w:w="592"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472"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行调手动排列折返线I道至火车东站下行站台进路：X2513-X2508</w:t>
            </w:r>
          </w:p>
        </w:tc>
        <w:tc>
          <w:tcPr>
            <w:tcW w:w="1619"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15"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20</w:t>
            </w:r>
          </w:p>
        </w:tc>
      </w:tr>
      <w:tr>
        <w:tblPrEx>
          <w:tblCellMar>
            <w:top w:w="0" w:type="dxa"/>
            <w:left w:w="108" w:type="dxa"/>
            <w:bottom w:w="0" w:type="dxa"/>
            <w:right w:w="108" w:type="dxa"/>
          </w:tblCellMar>
        </w:tblPrEx>
        <w:trPr>
          <w:trHeight w:val="1260" w:hRule="atLeast"/>
        </w:trPr>
        <w:tc>
          <w:tcPr>
            <w:tcW w:w="592"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加开通知</w:t>
            </w:r>
          </w:p>
        </w:tc>
        <w:tc>
          <w:tcPr>
            <w:tcW w:w="2472"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无线电台选择火车东站折返线I道备用车：“因客流疏散原因，准火车东站折返线I道至火车东站下行至体育中心站下行至体育中心站存车线I道加开971次，沿途不停站通过,行调101。”</w:t>
            </w:r>
          </w:p>
        </w:tc>
        <w:tc>
          <w:tcPr>
            <w:tcW w:w="1619"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15"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20</w:t>
            </w:r>
          </w:p>
        </w:tc>
      </w:tr>
      <w:tr>
        <w:tblPrEx>
          <w:tblCellMar>
            <w:top w:w="0" w:type="dxa"/>
            <w:left w:w="108" w:type="dxa"/>
            <w:bottom w:w="0" w:type="dxa"/>
            <w:right w:w="108" w:type="dxa"/>
          </w:tblCellMar>
        </w:tblPrEx>
        <w:trPr>
          <w:trHeight w:val="1260" w:hRule="atLeast"/>
        </w:trPr>
        <w:tc>
          <w:tcPr>
            <w:tcW w:w="592"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472"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1619"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仿真系统：“因客流疏散原因，准火车东站折返线I道至火车东站下行至体育中心站下行至体育中心站存车线I道加开97101次，沿途不停站通过,司机201。”</w:t>
            </w:r>
          </w:p>
        </w:tc>
        <w:tc>
          <w:tcPr>
            <w:tcW w:w="315"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575" w:hRule="atLeast"/>
        </w:trPr>
        <w:tc>
          <w:tcPr>
            <w:tcW w:w="592"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472"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调度电话呼叫加开路径沿途各站：“请体育中心站复诵，因客流疏散原因，准火车东站折返线I道至火车东站下行至体育中心站下行至体育中心站存车线I道加开971次，沿途不停站通过，各站做好乘客服务，行调101。”</w:t>
            </w:r>
          </w:p>
        </w:tc>
        <w:tc>
          <w:tcPr>
            <w:tcW w:w="1619"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15"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20</w:t>
            </w:r>
          </w:p>
        </w:tc>
      </w:tr>
      <w:tr>
        <w:tblPrEx>
          <w:tblCellMar>
            <w:top w:w="0" w:type="dxa"/>
            <w:left w:w="108" w:type="dxa"/>
            <w:bottom w:w="0" w:type="dxa"/>
            <w:right w:w="108" w:type="dxa"/>
          </w:tblCellMar>
        </w:tblPrEx>
        <w:trPr>
          <w:trHeight w:val="1800" w:hRule="atLeast"/>
        </w:trPr>
        <w:tc>
          <w:tcPr>
            <w:tcW w:w="592"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472"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1619"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仿真系统：“因客流疏散原因，准火车东站折返线I道至火车东站下行至体育中心站下行至体育中心站存车线I道加开97101次，沿途不停站通过,各站做好乘客服务，车站收到。”</w:t>
            </w:r>
          </w:p>
        </w:tc>
        <w:tc>
          <w:tcPr>
            <w:tcW w:w="315"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319" w:hRule="atLeast"/>
        </w:trPr>
        <w:tc>
          <w:tcPr>
            <w:tcW w:w="4684" w:type="pct"/>
            <w:gridSpan w:val="3"/>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color w:val="000000"/>
                <w:kern w:val="0"/>
                <w:sz w:val="21"/>
                <w:szCs w:val="21"/>
              </w:rPr>
            </w:pPr>
            <w:r>
              <w:rPr>
                <w:rFonts w:hint="eastAsia" w:ascii="仿宋" w:hAnsi="仿宋" w:cs="仿宋"/>
                <w:color w:val="000000"/>
                <w:kern w:val="0"/>
                <w:sz w:val="21"/>
                <w:szCs w:val="21"/>
              </w:rPr>
              <w:t>　</w:t>
            </w:r>
          </w:p>
        </w:tc>
        <w:tc>
          <w:tcPr>
            <w:tcW w:w="315"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color w:val="000000"/>
                <w:kern w:val="0"/>
                <w:sz w:val="21"/>
                <w:szCs w:val="21"/>
              </w:rPr>
            </w:pPr>
            <w:r>
              <w:rPr>
                <w:rFonts w:hint="eastAsia" w:ascii="仿宋" w:hAnsi="仿宋" w:cs="仿宋"/>
                <w:color w:val="000000"/>
                <w:kern w:val="0"/>
                <w:sz w:val="21"/>
                <w:szCs w:val="21"/>
              </w:rPr>
              <w:t>100</w:t>
            </w:r>
          </w:p>
        </w:tc>
      </w:tr>
    </w:tbl>
    <w:p>
      <w:pPr>
        <w:pStyle w:val="7"/>
        <w:numPr>
          <w:ilvl w:val="0"/>
          <w:numId w:val="0"/>
        </w:numPr>
        <w:spacing w:line="590" w:lineRule="exact"/>
        <w:ind w:firstLine="643" w:firstLineChars="200"/>
        <w:jc w:val="both"/>
        <w:rPr>
          <w:rFonts w:ascii="Times New Roman" w:hAnsi="Times New Roman" w:eastAsia="方正仿宋_GBK" w:cs="Times New Roman"/>
          <w:bCs w:val="0"/>
          <w:color w:val="000000"/>
          <w:szCs w:val="32"/>
        </w:rPr>
      </w:pPr>
      <w:r>
        <w:rPr>
          <w:rFonts w:ascii="Times New Roman" w:hAnsi="Times New Roman" w:eastAsia="方正仿宋_GBK" w:cs="Times New Roman"/>
          <w:bCs w:val="0"/>
          <w:color w:val="000000"/>
          <w:szCs w:val="32"/>
        </w:rPr>
        <w:t>内容四：组织备用车替开</w:t>
      </w:r>
    </w:p>
    <w:p>
      <w:pPr>
        <w:adjustRightInd/>
        <w:snapToGrid/>
        <w:spacing w:line="590" w:lineRule="exact"/>
        <w:ind w:firstLine="640"/>
        <w:rPr>
          <w:rFonts w:ascii="Times New Roman" w:hAnsi="Times New Roman" w:eastAsia="方正仿宋_GBK" w:cs="Times New Roman"/>
          <w:szCs w:val="32"/>
        </w:rPr>
      </w:pPr>
      <w:r>
        <w:rPr>
          <w:rFonts w:ascii="Times New Roman" w:hAnsi="Times New Roman" w:eastAsia="方正仿宋_GBK" w:cs="Times New Roman"/>
          <w:szCs w:val="32"/>
        </w:rPr>
        <w:t>作业内容：</w:t>
      </w:r>
      <w:r>
        <w:rPr>
          <w:rFonts w:hint="eastAsia" w:ascii="Times New Roman" w:hAnsi="Times New Roman" w:eastAsia="方正仿宋_GBK" w:cs="Times New Roman"/>
          <w:szCs w:val="32"/>
        </w:rPr>
        <w:t>10:11分，10606次列车因故障需转备，行调组织备用车替开</w:t>
      </w:r>
      <w:r>
        <w:rPr>
          <w:rFonts w:ascii="Times New Roman" w:hAnsi="Times New Roman" w:eastAsia="方正仿宋_GBK" w:cs="Times New Roman"/>
          <w:szCs w:val="32"/>
        </w:rPr>
        <w:t>。</w:t>
      </w:r>
    </w:p>
    <w:p>
      <w:pPr>
        <w:adjustRightInd/>
        <w:snapToGrid/>
        <w:spacing w:line="590" w:lineRule="exact"/>
        <w:ind w:firstLine="640"/>
        <w:rPr>
          <w:rFonts w:ascii="Times New Roman" w:hAnsi="Times New Roman" w:eastAsia="方正仿宋_GBK" w:cs="Times New Roman"/>
          <w:szCs w:val="32"/>
        </w:rPr>
      </w:pPr>
      <w:r>
        <w:rPr>
          <w:rFonts w:ascii="Times New Roman" w:hAnsi="Times New Roman" w:eastAsia="方正仿宋_GBK" w:cs="Times New Roman"/>
          <w:szCs w:val="32"/>
        </w:rPr>
        <w:t>完成标准：调度员手指口呼确认列车车次变更、进路排列成功，按标准用语与车站行车值班员、列车司机联控。</w:t>
      </w:r>
    </w:p>
    <w:tbl>
      <w:tblPr>
        <w:tblStyle w:val="31"/>
        <w:tblW w:w="5000" w:type="pct"/>
        <w:tblInd w:w="0" w:type="dxa"/>
        <w:tblLayout w:type="autofit"/>
        <w:tblCellMar>
          <w:top w:w="0" w:type="dxa"/>
          <w:left w:w="108" w:type="dxa"/>
          <w:bottom w:w="0" w:type="dxa"/>
          <w:right w:w="108" w:type="dxa"/>
        </w:tblCellMar>
      </w:tblPr>
      <w:tblGrid>
        <w:gridCol w:w="2106"/>
        <w:gridCol w:w="3711"/>
        <w:gridCol w:w="2607"/>
        <w:gridCol w:w="637"/>
      </w:tblGrid>
      <w:tr>
        <w:tblPrEx>
          <w:tblCellMar>
            <w:top w:w="0" w:type="dxa"/>
            <w:left w:w="108" w:type="dxa"/>
            <w:bottom w:w="0" w:type="dxa"/>
            <w:right w:w="108" w:type="dxa"/>
          </w:tblCellMar>
        </w:tblPrEx>
        <w:trPr>
          <w:trHeight w:val="319" w:hRule="atLeast"/>
        </w:trPr>
        <w:tc>
          <w:tcPr>
            <w:tcW w:w="5000" w:type="pct"/>
            <w:gridSpan w:val="4"/>
            <w:tcBorders>
              <w:top w:val="single" w:color="auto" w:sz="4" w:space="0"/>
              <w:left w:val="single" w:color="auto" w:sz="4" w:space="0"/>
              <w:bottom w:val="single" w:color="auto"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b/>
                <w:bCs/>
                <w:kern w:val="0"/>
                <w:sz w:val="21"/>
                <w:szCs w:val="21"/>
              </w:rPr>
            </w:pPr>
            <w:r>
              <w:rPr>
                <w:rFonts w:hint="eastAsia" w:ascii="仿宋" w:hAnsi="仿宋" w:cs="仿宋"/>
                <w:b/>
                <w:bCs/>
                <w:kern w:val="0"/>
                <w:sz w:val="21"/>
                <w:szCs w:val="21"/>
              </w:rPr>
              <w:t>备用车替开组织</w:t>
            </w:r>
          </w:p>
        </w:tc>
      </w:tr>
      <w:tr>
        <w:tblPrEx>
          <w:tblCellMar>
            <w:top w:w="0" w:type="dxa"/>
            <w:left w:w="108" w:type="dxa"/>
            <w:bottom w:w="0" w:type="dxa"/>
            <w:right w:w="108" w:type="dxa"/>
          </w:tblCellMar>
        </w:tblPrEx>
        <w:trPr>
          <w:trHeight w:val="319" w:hRule="atLeast"/>
        </w:trPr>
        <w:tc>
          <w:tcPr>
            <w:tcW w:w="651" w:type="pct"/>
            <w:tcBorders>
              <w:top w:val="nil"/>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作业程序</w:t>
            </w:r>
          </w:p>
        </w:tc>
        <w:tc>
          <w:tcPr>
            <w:tcW w:w="2283"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调度员作业内容</w:t>
            </w:r>
          </w:p>
        </w:tc>
        <w:tc>
          <w:tcPr>
            <w:tcW w:w="1672"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仿真系统</w:t>
            </w:r>
          </w:p>
        </w:tc>
        <w:tc>
          <w:tcPr>
            <w:tcW w:w="392"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分数</w:t>
            </w:r>
          </w:p>
        </w:tc>
      </w:tr>
      <w:tr>
        <w:tblPrEx>
          <w:tblCellMar>
            <w:top w:w="0" w:type="dxa"/>
            <w:left w:w="108" w:type="dxa"/>
            <w:bottom w:w="0" w:type="dxa"/>
            <w:right w:w="108" w:type="dxa"/>
          </w:tblCellMar>
        </w:tblPrEx>
        <w:trPr>
          <w:trHeight w:val="902" w:hRule="atLeast"/>
        </w:trPr>
        <w:tc>
          <w:tcPr>
            <w:tcW w:w="651"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场景建立</w:t>
            </w:r>
          </w:p>
        </w:tc>
        <w:tc>
          <w:tcPr>
            <w:tcW w:w="2283"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1672"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10:11分，10606次列车因故障需转备，行调组织备用车替开</w:t>
            </w:r>
          </w:p>
        </w:tc>
        <w:tc>
          <w:tcPr>
            <w:tcW w:w="392"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128" w:hRule="atLeast"/>
        </w:trPr>
        <w:tc>
          <w:tcPr>
            <w:tcW w:w="651"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与故障车司机联动</w:t>
            </w:r>
          </w:p>
        </w:tc>
        <w:tc>
          <w:tcPr>
            <w:tcW w:w="22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无线电台选择10606次：“儿童医院站上行10606次，在火车东站上行清客完毕后至火车东站折返线I道转备用，行调101”</w:t>
            </w:r>
          </w:p>
        </w:tc>
        <w:tc>
          <w:tcPr>
            <w:tcW w:w="1672"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2"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w:t>
            </w:r>
          </w:p>
        </w:tc>
      </w:tr>
      <w:tr>
        <w:tblPrEx>
          <w:tblCellMar>
            <w:top w:w="0" w:type="dxa"/>
            <w:left w:w="108" w:type="dxa"/>
            <w:bottom w:w="0" w:type="dxa"/>
            <w:right w:w="108" w:type="dxa"/>
          </w:tblCellMar>
        </w:tblPrEx>
        <w:trPr>
          <w:trHeight w:val="1130" w:hRule="atLeast"/>
        </w:trPr>
        <w:tc>
          <w:tcPr>
            <w:tcW w:w="651"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72"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仿真系统语音：“在火车东站上行清客完毕后至火车东站折返线I道转备用，司机201”</w:t>
            </w:r>
          </w:p>
        </w:tc>
        <w:tc>
          <w:tcPr>
            <w:tcW w:w="392"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395" w:hRule="atLeast"/>
        </w:trPr>
        <w:tc>
          <w:tcPr>
            <w:tcW w:w="651"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与备用车司机联动</w:t>
            </w:r>
          </w:p>
        </w:tc>
        <w:tc>
          <w:tcPr>
            <w:tcW w:w="22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无线电台选择备用车：“火车东站折返线I道备用车，做好动车准备，稍后运行至火车东站下行替开10607次，按时刻表发车，行调101”</w:t>
            </w:r>
          </w:p>
        </w:tc>
        <w:tc>
          <w:tcPr>
            <w:tcW w:w="1672"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2"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w:t>
            </w:r>
          </w:p>
        </w:tc>
      </w:tr>
      <w:tr>
        <w:tblPrEx>
          <w:tblCellMar>
            <w:top w:w="0" w:type="dxa"/>
            <w:left w:w="108" w:type="dxa"/>
            <w:bottom w:w="0" w:type="dxa"/>
            <w:right w:w="108" w:type="dxa"/>
          </w:tblCellMar>
        </w:tblPrEx>
        <w:trPr>
          <w:trHeight w:val="428" w:hRule="atLeast"/>
        </w:trPr>
        <w:tc>
          <w:tcPr>
            <w:tcW w:w="651"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72"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仿真系统语音：“火车东站折返线I道备用车，做好动车准备，稍后运行至火车东站下行替开10607次，按时刻表发车，司机201”</w:t>
            </w:r>
          </w:p>
        </w:tc>
        <w:tc>
          <w:tcPr>
            <w:tcW w:w="392"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217" w:hRule="atLeast"/>
        </w:trPr>
        <w:tc>
          <w:tcPr>
            <w:tcW w:w="651" w:type="pct"/>
            <w:vMerge w:val="restart"/>
            <w:tcBorders>
              <w:top w:val="nil"/>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与车站联动</w:t>
            </w:r>
          </w:p>
        </w:tc>
        <w:tc>
          <w:tcPr>
            <w:tcW w:w="22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调度电话呼叫火车东站：“儿童医院站上行10606次在你站上行清客完毕后至你站折返线I道转备用，备用车替开10607次正常载客，行调101”</w:t>
            </w:r>
          </w:p>
        </w:tc>
        <w:tc>
          <w:tcPr>
            <w:tcW w:w="1672"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2"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w:t>
            </w:r>
          </w:p>
        </w:tc>
      </w:tr>
      <w:tr>
        <w:tblPrEx>
          <w:tblCellMar>
            <w:top w:w="0" w:type="dxa"/>
            <w:left w:w="108" w:type="dxa"/>
            <w:bottom w:w="0" w:type="dxa"/>
            <w:right w:w="108" w:type="dxa"/>
          </w:tblCellMar>
        </w:tblPrEx>
        <w:trPr>
          <w:trHeight w:val="855" w:hRule="atLeast"/>
        </w:trPr>
        <w:tc>
          <w:tcPr>
            <w:tcW w:w="651"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72"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仿真系统语音：“儿童医院站上行10606次在你站上行清客完毕后至你站折返线I道转备用，备用车替开10607次正常载客，火车东站收到”</w:t>
            </w:r>
          </w:p>
        </w:tc>
        <w:tc>
          <w:tcPr>
            <w:tcW w:w="392"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600" w:hRule="atLeast"/>
        </w:trPr>
        <w:tc>
          <w:tcPr>
            <w:tcW w:w="651"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操作</w:t>
            </w:r>
          </w:p>
        </w:tc>
        <w:tc>
          <w:tcPr>
            <w:tcW w:w="22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行调在ATS终端，将备用车服务号设置为106，目的码为014</w:t>
            </w:r>
          </w:p>
        </w:tc>
        <w:tc>
          <w:tcPr>
            <w:tcW w:w="1672"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2"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w:t>
            </w:r>
          </w:p>
        </w:tc>
      </w:tr>
      <w:tr>
        <w:tblPrEx>
          <w:tblCellMar>
            <w:top w:w="0" w:type="dxa"/>
            <w:left w:w="108" w:type="dxa"/>
            <w:bottom w:w="0" w:type="dxa"/>
            <w:right w:w="108" w:type="dxa"/>
          </w:tblCellMar>
        </w:tblPrEx>
        <w:trPr>
          <w:trHeight w:val="600" w:hRule="atLeast"/>
        </w:trPr>
        <w:tc>
          <w:tcPr>
            <w:tcW w:w="651"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行调手动排列折返线I道至火车东站下行站台进路：X2513-X2508</w:t>
            </w:r>
          </w:p>
        </w:tc>
        <w:tc>
          <w:tcPr>
            <w:tcW w:w="1672"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2"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w:t>
            </w:r>
          </w:p>
        </w:tc>
      </w:tr>
      <w:tr>
        <w:tblPrEx>
          <w:tblCellMar>
            <w:top w:w="0" w:type="dxa"/>
            <w:left w:w="108" w:type="dxa"/>
            <w:bottom w:w="0" w:type="dxa"/>
            <w:right w:w="108" w:type="dxa"/>
          </w:tblCellMar>
        </w:tblPrEx>
        <w:trPr>
          <w:trHeight w:val="810" w:hRule="atLeast"/>
        </w:trPr>
        <w:tc>
          <w:tcPr>
            <w:tcW w:w="651"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行调在ATS终端，将火车东站上行出站的S2523信号机交人工控</w:t>
            </w:r>
          </w:p>
        </w:tc>
        <w:tc>
          <w:tcPr>
            <w:tcW w:w="1672"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2"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w:t>
            </w:r>
          </w:p>
        </w:tc>
      </w:tr>
      <w:tr>
        <w:tblPrEx>
          <w:tblCellMar>
            <w:top w:w="0" w:type="dxa"/>
            <w:left w:w="108" w:type="dxa"/>
            <w:bottom w:w="0" w:type="dxa"/>
            <w:right w:w="108" w:type="dxa"/>
          </w:tblCellMar>
        </w:tblPrEx>
        <w:trPr>
          <w:trHeight w:val="846" w:hRule="atLeast"/>
        </w:trPr>
        <w:tc>
          <w:tcPr>
            <w:tcW w:w="651" w:type="pct"/>
            <w:vMerge w:val="restart"/>
            <w:tcBorders>
              <w:top w:val="nil"/>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与10607次列车联动</w:t>
            </w:r>
          </w:p>
        </w:tc>
        <w:tc>
          <w:tcPr>
            <w:tcW w:w="22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无线电台选择备用车：“10607次列车凭信号显示发车运行至火车东站下行，按时刻表发车，行调101”</w:t>
            </w:r>
          </w:p>
        </w:tc>
        <w:tc>
          <w:tcPr>
            <w:tcW w:w="1672"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2"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w:t>
            </w:r>
          </w:p>
        </w:tc>
      </w:tr>
      <w:tr>
        <w:tblPrEx>
          <w:tblCellMar>
            <w:top w:w="0" w:type="dxa"/>
            <w:left w:w="108" w:type="dxa"/>
            <w:bottom w:w="0" w:type="dxa"/>
            <w:right w:w="108" w:type="dxa"/>
          </w:tblCellMar>
        </w:tblPrEx>
        <w:trPr>
          <w:trHeight w:val="1030" w:hRule="atLeast"/>
        </w:trPr>
        <w:tc>
          <w:tcPr>
            <w:tcW w:w="651"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3"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72"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仿真系统语音：“10607次列车凭信号显示发车运行至火车东站下行，按时刻表发车”</w:t>
            </w:r>
          </w:p>
        </w:tc>
        <w:tc>
          <w:tcPr>
            <w:tcW w:w="392"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130" w:hRule="atLeast"/>
        </w:trPr>
        <w:tc>
          <w:tcPr>
            <w:tcW w:w="651" w:type="pct"/>
            <w:vMerge w:val="restart"/>
            <w:tcBorders>
              <w:top w:val="nil"/>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操作</w:t>
            </w:r>
          </w:p>
        </w:tc>
        <w:tc>
          <w:tcPr>
            <w:tcW w:w="22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在10607次列车出清火车东站折返线I道后</w:t>
            </w:r>
            <w:r>
              <w:rPr>
                <w:rFonts w:hint="eastAsia" w:ascii="仿宋" w:hAnsi="仿宋" w:cs="仿宋"/>
                <w:kern w:val="0"/>
                <w:sz w:val="21"/>
                <w:szCs w:val="21"/>
              </w:rPr>
              <w:br w:type="textWrapping"/>
            </w:r>
            <w:r>
              <w:rPr>
                <w:rFonts w:hint="eastAsia" w:ascii="仿宋" w:hAnsi="仿宋" w:cs="仿宋"/>
                <w:kern w:val="0"/>
                <w:sz w:val="21"/>
                <w:szCs w:val="21"/>
              </w:rPr>
              <w:t>行调手动排列进路S2523-S2505（若S2523-S2507进路已触发，人解该进路）</w:t>
            </w:r>
          </w:p>
        </w:tc>
        <w:tc>
          <w:tcPr>
            <w:tcW w:w="1672"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2"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w:t>
            </w:r>
          </w:p>
        </w:tc>
      </w:tr>
      <w:tr>
        <w:tblPrEx>
          <w:tblCellMar>
            <w:top w:w="0" w:type="dxa"/>
            <w:left w:w="108" w:type="dxa"/>
            <w:bottom w:w="0" w:type="dxa"/>
            <w:right w:w="108" w:type="dxa"/>
          </w:tblCellMar>
        </w:tblPrEx>
        <w:trPr>
          <w:trHeight w:val="693" w:hRule="atLeast"/>
        </w:trPr>
        <w:tc>
          <w:tcPr>
            <w:tcW w:w="651"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行调在ATS终端，将火车东站上行出站的S2523信号机交自动控</w:t>
            </w:r>
          </w:p>
        </w:tc>
        <w:tc>
          <w:tcPr>
            <w:tcW w:w="1672"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2"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w:t>
            </w:r>
          </w:p>
        </w:tc>
      </w:tr>
      <w:tr>
        <w:tblPrEx>
          <w:tblCellMar>
            <w:top w:w="0" w:type="dxa"/>
            <w:left w:w="108" w:type="dxa"/>
            <w:bottom w:w="0" w:type="dxa"/>
            <w:right w:w="108" w:type="dxa"/>
          </w:tblCellMar>
        </w:tblPrEx>
        <w:trPr>
          <w:trHeight w:val="561" w:hRule="atLeast"/>
        </w:trPr>
        <w:tc>
          <w:tcPr>
            <w:tcW w:w="651"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行调在ATS终端，将故障车设置成人工车</w:t>
            </w:r>
          </w:p>
        </w:tc>
        <w:tc>
          <w:tcPr>
            <w:tcW w:w="1672"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2"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w:t>
            </w:r>
          </w:p>
        </w:tc>
      </w:tr>
      <w:tr>
        <w:tblPrEx>
          <w:tblCellMar>
            <w:top w:w="0" w:type="dxa"/>
            <w:left w:w="108" w:type="dxa"/>
            <w:bottom w:w="0" w:type="dxa"/>
            <w:right w:w="108" w:type="dxa"/>
          </w:tblCellMar>
        </w:tblPrEx>
        <w:trPr>
          <w:trHeight w:val="319" w:hRule="atLeast"/>
        </w:trPr>
        <w:tc>
          <w:tcPr>
            <w:tcW w:w="4607" w:type="pct"/>
            <w:gridSpan w:val="3"/>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color w:val="000000"/>
                <w:kern w:val="0"/>
                <w:sz w:val="21"/>
                <w:szCs w:val="21"/>
              </w:rPr>
            </w:pPr>
            <w:r>
              <w:rPr>
                <w:rFonts w:hint="eastAsia" w:ascii="仿宋" w:hAnsi="仿宋" w:cs="仿宋"/>
                <w:color w:val="000000"/>
                <w:kern w:val="0"/>
                <w:sz w:val="21"/>
                <w:szCs w:val="21"/>
              </w:rPr>
              <w:t>　</w:t>
            </w:r>
          </w:p>
        </w:tc>
        <w:tc>
          <w:tcPr>
            <w:tcW w:w="392"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color w:val="000000"/>
                <w:kern w:val="0"/>
                <w:sz w:val="21"/>
                <w:szCs w:val="21"/>
              </w:rPr>
            </w:pPr>
            <w:r>
              <w:rPr>
                <w:rFonts w:hint="eastAsia" w:ascii="仿宋" w:hAnsi="仿宋" w:cs="仿宋"/>
                <w:color w:val="000000"/>
                <w:kern w:val="0"/>
                <w:sz w:val="21"/>
                <w:szCs w:val="21"/>
              </w:rPr>
              <w:t>100</w:t>
            </w:r>
          </w:p>
        </w:tc>
      </w:tr>
    </w:tbl>
    <w:p>
      <w:pPr>
        <w:pStyle w:val="6"/>
        <w:numPr>
          <w:ilvl w:val="0"/>
          <w:numId w:val="0"/>
        </w:numPr>
        <w:spacing w:line="590" w:lineRule="exact"/>
        <w:ind w:firstLine="643" w:firstLineChars="200"/>
        <w:jc w:val="both"/>
        <w:rPr>
          <w:rFonts w:ascii="Times New Roman" w:hAnsi="Times New Roman" w:eastAsia="方正仿宋_GBK" w:cs="Times New Roman"/>
        </w:rPr>
      </w:pPr>
      <w:r>
        <w:rPr>
          <w:rFonts w:hint="eastAsia" w:ascii="Times New Roman" w:hAnsi="Times New Roman" w:eastAsia="方正仿宋_GBK" w:cs="Times New Roman"/>
        </w:rPr>
        <w:t>2．</w:t>
      </w:r>
      <w:r>
        <w:rPr>
          <w:rFonts w:ascii="Times New Roman" w:hAnsi="Times New Roman" w:eastAsia="方正仿宋_GBK" w:cs="Times New Roman"/>
        </w:rPr>
        <w:t>信号故障处置</w:t>
      </w:r>
      <w:r>
        <w:rPr>
          <w:rFonts w:hint="eastAsia" w:ascii="Times New Roman" w:hAnsi="Times New Roman" w:eastAsia="方正仿宋_GBK" w:cs="Times New Roman"/>
        </w:rPr>
        <w:t>（副场景）</w:t>
      </w:r>
    </w:p>
    <w:p>
      <w:pPr>
        <w:pStyle w:val="7"/>
        <w:numPr>
          <w:ilvl w:val="0"/>
          <w:numId w:val="0"/>
        </w:numPr>
        <w:spacing w:line="590" w:lineRule="exact"/>
        <w:ind w:firstLine="643" w:firstLineChars="200"/>
        <w:jc w:val="both"/>
        <w:rPr>
          <w:rFonts w:ascii="Times New Roman" w:hAnsi="Times New Roman" w:eastAsia="方正仿宋_GBK" w:cs="Times New Roman"/>
          <w:color w:val="000000" w:themeColor="text1"/>
          <w:szCs w:val="32"/>
          <w14:textFill>
            <w14:solidFill>
              <w14:schemeClr w14:val="tx1"/>
            </w14:solidFill>
          </w14:textFill>
        </w:rPr>
      </w:pPr>
      <w:r>
        <w:rPr>
          <w:rFonts w:ascii="Times New Roman" w:hAnsi="Times New Roman" w:eastAsia="方正仿宋_GBK" w:cs="Times New Roman"/>
          <w:color w:val="000000" w:themeColor="text1"/>
          <w:szCs w:val="32"/>
          <w14:textFill>
            <w14:solidFill>
              <w14:schemeClr w14:val="tx1"/>
            </w14:solidFill>
          </w14:textFill>
        </w:rPr>
        <w:t>内容一：信号重开处置</w:t>
      </w:r>
    </w:p>
    <w:p>
      <w:pPr>
        <w:adjustRightInd/>
        <w:snapToGrid/>
        <w:spacing w:line="590" w:lineRule="exact"/>
        <w:ind w:firstLine="640"/>
        <w:rPr>
          <w:rFonts w:ascii="Times New Roman" w:hAnsi="Times New Roman" w:eastAsia="方正仿宋_GBK" w:cs="Times New Roman"/>
          <w:szCs w:val="32"/>
        </w:rPr>
      </w:pPr>
      <w:r>
        <w:rPr>
          <w:rFonts w:ascii="Times New Roman" w:hAnsi="Times New Roman" w:eastAsia="方正仿宋_GBK" w:cs="Times New Roman"/>
          <w:szCs w:val="32"/>
        </w:rPr>
        <w:t>故障现象：某站上（下）行已开放的出站信号机突然关闭</w:t>
      </w:r>
    </w:p>
    <w:p>
      <w:pPr>
        <w:adjustRightInd/>
        <w:snapToGrid/>
        <w:spacing w:line="590" w:lineRule="exact"/>
        <w:ind w:firstLine="640"/>
        <w:rPr>
          <w:rFonts w:ascii="Times New Roman" w:hAnsi="Times New Roman" w:eastAsia="方正仿宋_GBK" w:cs="Times New Roman"/>
          <w:szCs w:val="32"/>
        </w:rPr>
      </w:pPr>
      <w:r>
        <w:rPr>
          <w:rFonts w:ascii="Times New Roman" w:hAnsi="Times New Roman" w:eastAsia="方正仿宋_GBK" w:cs="Times New Roman"/>
          <w:szCs w:val="32"/>
        </w:rPr>
        <w:t>故障设置：xxx道岔瞬间故障后恢复，A站上（下）行已开放的xxx信号机信号机关闭。上（下）行列车未进入区间，导致上（下）行列车无法进入区间运行。</w:t>
      </w:r>
    </w:p>
    <w:p>
      <w:pPr>
        <w:adjustRightInd/>
        <w:snapToGrid/>
        <w:spacing w:line="590" w:lineRule="exact"/>
        <w:ind w:firstLine="640"/>
        <w:rPr>
          <w:rFonts w:ascii="Times New Roman" w:hAnsi="Times New Roman" w:eastAsia="方正仿宋_GBK" w:cs="Times New Roman"/>
          <w:szCs w:val="32"/>
        </w:rPr>
      </w:pPr>
      <w:r>
        <w:rPr>
          <w:rFonts w:ascii="Times New Roman" w:hAnsi="Times New Roman" w:eastAsia="方正仿宋_GBK" w:cs="Times New Roman"/>
          <w:szCs w:val="32"/>
        </w:rPr>
        <w:t>完成操作：调度员确认情况后进行信号重开处置。</w:t>
      </w:r>
    </w:p>
    <w:tbl>
      <w:tblPr>
        <w:tblStyle w:val="31"/>
        <w:tblW w:w="5000" w:type="pct"/>
        <w:tblInd w:w="0" w:type="dxa"/>
        <w:tblLayout w:type="autofit"/>
        <w:tblCellMar>
          <w:top w:w="0" w:type="dxa"/>
          <w:left w:w="108" w:type="dxa"/>
          <w:bottom w:w="0" w:type="dxa"/>
          <w:right w:w="108" w:type="dxa"/>
        </w:tblCellMar>
      </w:tblPr>
      <w:tblGrid>
        <w:gridCol w:w="1123"/>
        <w:gridCol w:w="4337"/>
        <w:gridCol w:w="3601"/>
      </w:tblGrid>
      <w:tr>
        <w:tblPrEx>
          <w:tblCellMar>
            <w:top w:w="0" w:type="dxa"/>
            <w:left w:w="108" w:type="dxa"/>
            <w:bottom w:w="0" w:type="dxa"/>
            <w:right w:w="108" w:type="dxa"/>
          </w:tblCellMar>
        </w:tblPrEx>
        <w:trPr>
          <w:trHeight w:val="465" w:hRule="atLeast"/>
        </w:trPr>
        <w:tc>
          <w:tcPr>
            <w:tcW w:w="5000"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b/>
                <w:bCs/>
                <w:kern w:val="0"/>
                <w:sz w:val="21"/>
                <w:szCs w:val="21"/>
              </w:rPr>
            </w:pPr>
            <w:r>
              <w:rPr>
                <w:rFonts w:hint="eastAsia" w:ascii="仿宋" w:hAnsi="仿宋" w:cs="仿宋"/>
                <w:b/>
                <w:bCs/>
                <w:kern w:val="0"/>
                <w:sz w:val="21"/>
                <w:szCs w:val="21"/>
              </w:rPr>
              <w:t>内容一：信号重开处置</w:t>
            </w:r>
          </w:p>
        </w:tc>
      </w:tr>
      <w:tr>
        <w:tblPrEx>
          <w:tblCellMar>
            <w:top w:w="0" w:type="dxa"/>
            <w:left w:w="108" w:type="dxa"/>
            <w:bottom w:w="0" w:type="dxa"/>
            <w:right w:w="108" w:type="dxa"/>
          </w:tblCellMar>
        </w:tblPrEx>
        <w:trPr>
          <w:trHeight w:val="579" w:hRule="atLeast"/>
        </w:trPr>
        <w:tc>
          <w:tcPr>
            <w:tcW w:w="620" w:type="pct"/>
            <w:tcBorders>
              <w:top w:val="nil"/>
              <w:left w:val="single" w:color="000000" w:sz="4" w:space="0"/>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作业程序</w:t>
            </w:r>
          </w:p>
        </w:tc>
        <w:tc>
          <w:tcPr>
            <w:tcW w:w="2393" w:type="pct"/>
            <w:tcBorders>
              <w:top w:val="nil"/>
              <w:left w:val="nil"/>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调度员作业内容</w:t>
            </w:r>
          </w:p>
        </w:tc>
        <w:tc>
          <w:tcPr>
            <w:tcW w:w="1986" w:type="pct"/>
            <w:tcBorders>
              <w:top w:val="nil"/>
              <w:left w:val="nil"/>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仿真系统</w:t>
            </w:r>
          </w:p>
        </w:tc>
      </w:tr>
      <w:tr>
        <w:tblPrEx>
          <w:tblCellMar>
            <w:top w:w="0" w:type="dxa"/>
            <w:left w:w="108" w:type="dxa"/>
            <w:bottom w:w="0" w:type="dxa"/>
            <w:right w:w="108" w:type="dxa"/>
          </w:tblCellMar>
        </w:tblPrEx>
        <w:trPr>
          <w:trHeight w:val="586" w:hRule="atLeast"/>
        </w:trPr>
        <w:tc>
          <w:tcPr>
            <w:tcW w:w="620" w:type="pct"/>
            <w:tcBorders>
              <w:top w:val="nil"/>
              <w:left w:val="single" w:color="000000" w:sz="4" w:space="0"/>
              <w:bottom w:val="single" w:color="auto"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场景建立</w:t>
            </w:r>
          </w:p>
        </w:tc>
        <w:tc>
          <w:tcPr>
            <w:tcW w:w="2393" w:type="pct"/>
            <w:tcBorders>
              <w:top w:val="nil"/>
              <w:left w:val="nil"/>
              <w:bottom w:val="single" w:color="auto"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1986" w:type="pct"/>
            <w:tcBorders>
              <w:top w:val="nil"/>
              <w:left w:val="nil"/>
              <w:bottom w:val="single" w:color="auto"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XX站信号机不开放</w:t>
            </w:r>
          </w:p>
        </w:tc>
      </w:tr>
      <w:tr>
        <w:tblPrEx>
          <w:tblCellMar>
            <w:top w:w="0" w:type="dxa"/>
            <w:left w:w="108" w:type="dxa"/>
            <w:bottom w:w="0" w:type="dxa"/>
            <w:right w:w="108" w:type="dxa"/>
          </w:tblCellMar>
        </w:tblPrEx>
        <w:trPr>
          <w:trHeight w:val="746" w:hRule="atLeast"/>
        </w:trPr>
        <w:tc>
          <w:tcPr>
            <w:tcW w:w="620" w:type="pct"/>
            <w:tcBorders>
              <w:top w:val="single" w:color="auto" w:sz="4" w:space="0"/>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ATS操作</w:t>
            </w:r>
          </w:p>
        </w:tc>
        <w:tc>
          <w:tcPr>
            <w:tcW w:w="2393" w:type="pct"/>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操作ATS系统终端，对XX站信号机操作信号重开。</w:t>
            </w:r>
          </w:p>
        </w:tc>
        <w:tc>
          <w:tcPr>
            <w:tcW w:w="1986" w:type="pct"/>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XX站信号机开放</w:t>
            </w:r>
          </w:p>
        </w:tc>
      </w:tr>
      <w:tr>
        <w:tblPrEx>
          <w:tblCellMar>
            <w:top w:w="0" w:type="dxa"/>
            <w:left w:w="108" w:type="dxa"/>
            <w:bottom w:w="0" w:type="dxa"/>
            <w:right w:w="108" w:type="dxa"/>
          </w:tblCellMar>
        </w:tblPrEx>
        <w:trPr>
          <w:trHeight w:val="543" w:hRule="atLeast"/>
        </w:trPr>
        <w:tc>
          <w:tcPr>
            <w:tcW w:w="5000" w:type="pct"/>
            <w:gridSpan w:val="3"/>
            <w:tcBorders>
              <w:top w:val="single" w:color="auto" w:sz="4" w:space="0"/>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因该故障处置不及时，因该故障导致出现列车晚点30秒或列车区间迫停的情况，扣5分</w:t>
            </w:r>
          </w:p>
        </w:tc>
      </w:tr>
    </w:tbl>
    <w:p>
      <w:pPr>
        <w:pStyle w:val="7"/>
        <w:numPr>
          <w:ilvl w:val="0"/>
          <w:numId w:val="0"/>
        </w:numPr>
        <w:spacing w:line="590" w:lineRule="exact"/>
        <w:ind w:firstLine="643" w:firstLineChars="200"/>
        <w:jc w:val="both"/>
        <w:rPr>
          <w:rFonts w:ascii="Times New Roman" w:hAnsi="Times New Roman" w:eastAsia="方正仿宋_GBK" w:cs="Times New Roman"/>
          <w:color w:val="000000" w:themeColor="text1"/>
          <w:szCs w:val="32"/>
          <w14:textFill>
            <w14:solidFill>
              <w14:schemeClr w14:val="tx1"/>
            </w14:solidFill>
          </w14:textFill>
        </w:rPr>
      </w:pPr>
      <w:r>
        <w:rPr>
          <w:rFonts w:ascii="Times New Roman" w:hAnsi="Times New Roman" w:eastAsia="方正仿宋_GBK" w:cs="Times New Roman"/>
          <w:color w:val="000000" w:themeColor="text1"/>
          <w:szCs w:val="32"/>
          <w14:textFill>
            <w14:solidFill>
              <w14:schemeClr w14:val="tx1"/>
            </w14:solidFill>
          </w14:textFill>
        </w:rPr>
        <w:t>内容</w:t>
      </w:r>
      <w:r>
        <w:t>二</w:t>
      </w:r>
      <w:r>
        <w:rPr>
          <w:rFonts w:ascii="Times New Roman" w:hAnsi="Times New Roman" w:eastAsia="方正仿宋_GBK" w:cs="Times New Roman"/>
          <w:color w:val="000000" w:themeColor="text1"/>
          <w:szCs w:val="32"/>
          <w14:textFill>
            <w14:solidFill>
              <w14:schemeClr w14:val="tx1"/>
            </w14:solidFill>
          </w14:textFill>
        </w:rPr>
        <w:t>：区段故障锁闭处置</w:t>
      </w:r>
    </w:p>
    <w:p>
      <w:pPr>
        <w:adjustRightInd/>
        <w:snapToGrid/>
        <w:spacing w:line="590" w:lineRule="exact"/>
        <w:ind w:firstLine="640"/>
        <w:rPr>
          <w:rFonts w:ascii="Times New Roman" w:hAnsi="Times New Roman" w:eastAsia="方正仿宋_GBK" w:cs="Times New Roman"/>
          <w:szCs w:val="32"/>
        </w:rPr>
      </w:pPr>
      <w:r>
        <w:rPr>
          <w:rFonts w:ascii="Times New Roman" w:hAnsi="Times New Roman" w:eastAsia="方正仿宋_GBK" w:cs="Times New Roman"/>
          <w:szCs w:val="32"/>
        </w:rPr>
        <w:t>故障现象：列车经过进路区段后，进路区段出现故障锁闭状态。</w:t>
      </w:r>
    </w:p>
    <w:p>
      <w:pPr>
        <w:adjustRightInd/>
        <w:snapToGrid/>
        <w:spacing w:line="590" w:lineRule="exact"/>
        <w:ind w:firstLine="640"/>
        <w:rPr>
          <w:rFonts w:ascii="Times New Roman" w:hAnsi="Times New Roman" w:eastAsia="方正仿宋_GBK" w:cs="Times New Roman"/>
          <w:szCs w:val="32"/>
        </w:rPr>
      </w:pPr>
      <w:r>
        <w:rPr>
          <w:rFonts w:ascii="Times New Roman" w:hAnsi="Times New Roman" w:eastAsia="方正仿宋_GBK" w:cs="Times New Roman"/>
          <w:szCs w:val="32"/>
        </w:rPr>
        <w:t>故障设置：列车经过进路区段后，Gxxx、Gxxx出现故障锁闭状态。</w:t>
      </w:r>
    </w:p>
    <w:p>
      <w:pPr>
        <w:adjustRightInd/>
        <w:snapToGrid/>
        <w:spacing w:line="590" w:lineRule="exact"/>
        <w:ind w:firstLine="640"/>
        <w:rPr>
          <w:rFonts w:ascii="Times New Roman" w:hAnsi="Times New Roman" w:eastAsia="方正仿宋_GBK" w:cs="Times New Roman"/>
          <w:szCs w:val="32"/>
        </w:rPr>
      </w:pPr>
      <w:r>
        <w:rPr>
          <w:rFonts w:ascii="Times New Roman" w:hAnsi="Times New Roman" w:eastAsia="方正仿宋_GBK" w:cs="Times New Roman"/>
          <w:szCs w:val="32"/>
        </w:rPr>
        <w:t>完成操作：调度员确认情况后进行区故解处置。</w:t>
      </w:r>
    </w:p>
    <w:tbl>
      <w:tblPr>
        <w:tblStyle w:val="3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72"/>
        <w:gridCol w:w="4270"/>
        <w:gridCol w:w="36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5000" w:type="pct"/>
            <w:gridSpan w:val="3"/>
            <w:shd w:val="clear" w:color="auto" w:fill="auto"/>
            <w:noWrap/>
            <w:vAlign w:val="center"/>
          </w:tcPr>
          <w:p>
            <w:pPr>
              <w:widowControl/>
              <w:adjustRightInd/>
              <w:snapToGrid/>
              <w:spacing w:line="240" w:lineRule="auto"/>
              <w:ind w:firstLine="0" w:firstLineChars="0"/>
              <w:jc w:val="center"/>
              <w:rPr>
                <w:rFonts w:ascii="仿宋" w:hAnsi="仿宋" w:cs="仿宋"/>
                <w:b/>
                <w:bCs/>
                <w:kern w:val="0"/>
                <w:sz w:val="21"/>
                <w:szCs w:val="21"/>
              </w:rPr>
            </w:pPr>
            <w:r>
              <w:rPr>
                <w:rFonts w:hint="eastAsia" w:ascii="仿宋" w:hAnsi="仿宋" w:cs="仿宋"/>
                <w:b/>
                <w:bCs/>
                <w:kern w:val="0"/>
                <w:sz w:val="21"/>
                <w:szCs w:val="21"/>
              </w:rPr>
              <w:t>内容二：区段故障锁闭处置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647"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作业程序</w:t>
            </w:r>
          </w:p>
        </w:tc>
        <w:tc>
          <w:tcPr>
            <w:tcW w:w="2356"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调度员作业内容</w:t>
            </w:r>
          </w:p>
        </w:tc>
        <w:tc>
          <w:tcPr>
            <w:tcW w:w="1996"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仿真系统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647"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场景建立</w:t>
            </w:r>
          </w:p>
        </w:tc>
        <w:tc>
          <w:tcPr>
            <w:tcW w:w="2356"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1996"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XX区段出现故障锁闭状态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647" w:type="pct"/>
            <w:vMerge w:val="restart"/>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ATS操作</w:t>
            </w:r>
          </w:p>
        </w:tc>
        <w:tc>
          <w:tcPr>
            <w:tcW w:w="235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行调操作ATS系统终端，对XX进行区故解处置。</w:t>
            </w:r>
          </w:p>
        </w:tc>
        <w:tc>
          <w:tcPr>
            <w:tcW w:w="1996"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647"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35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1996"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XX区段解锁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5000" w:type="pct"/>
            <w:gridSpan w:val="3"/>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因该故障处置不及时，因该故障导致出现列车晚点30秒或列车区间迫停的情况，扣5分</w:t>
            </w:r>
          </w:p>
        </w:tc>
      </w:tr>
    </w:tbl>
    <w:p>
      <w:pPr>
        <w:pStyle w:val="7"/>
        <w:numPr>
          <w:ilvl w:val="0"/>
          <w:numId w:val="0"/>
        </w:numPr>
        <w:spacing w:line="590" w:lineRule="exact"/>
        <w:ind w:firstLine="643" w:firstLineChars="200"/>
        <w:jc w:val="both"/>
        <w:rPr>
          <w:rFonts w:ascii="Times New Roman" w:hAnsi="Times New Roman" w:eastAsia="方正仿宋_GBK" w:cs="Times New Roman"/>
          <w:color w:val="000000" w:themeColor="text1"/>
          <w:szCs w:val="32"/>
          <w14:textFill>
            <w14:solidFill>
              <w14:schemeClr w14:val="tx1"/>
            </w14:solidFill>
          </w14:textFill>
        </w:rPr>
      </w:pPr>
      <w:r>
        <w:rPr>
          <w:rFonts w:ascii="Times New Roman" w:hAnsi="Times New Roman" w:eastAsia="方正仿宋_GBK" w:cs="Times New Roman"/>
          <w:color w:val="000000" w:themeColor="text1"/>
          <w:szCs w:val="32"/>
          <w14:textFill>
            <w14:solidFill>
              <w14:schemeClr w14:val="tx1"/>
            </w14:solidFill>
          </w14:textFill>
        </w:rPr>
        <w:t>内容三：进路不自排处置</w:t>
      </w:r>
    </w:p>
    <w:p>
      <w:pPr>
        <w:adjustRightInd/>
        <w:snapToGrid/>
        <w:spacing w:line="590" w:lineRule="exact"/>
        <w:ind w:firstLine="640"/>
        <w:rPr>
          <w:rFonts w:ascii="Times New Roman" w:hAnsi="Times New Roman" w:eastAsia="方正仿宋_GBK" w:cs="Times New Roman"/>
          <w:szCs w:val="32"/>
        </w:rPr>
      </w:pPr>
      <w:r>
        <w:rPr>
          <w:rFonts w:ascii="Times New Roman" w:hAnsi="Times New Roman" w:eastAsia="方正仿宋_GBK" w:cs="Times New Roman"/>
          <w:szCs w:val="32"/>
        </w:rPr>
        <w:t>故障现象：某站出站进路未触发，列车在站停车时间超时。</w:t>
      </w:r>
    </w:p>
    <w:p>
      <w:pPr>
        <w:adjustRightInd/>
        <w:snapToGrid/>
        <w:spacing w:line="590" w:lineRule="exact"/>
        <w:ind w:firstLine="640"/>
        <w:rPr>
          <w:rFonts w:ascii="Times New Roman" w:hAnsi="Times New Roman" w:eastAsia="方正仿宋_GBK" w:cs="Times New Roman"/>
          <w:szCs w:val="32"/>
        </w:rPr>
      </w:pPr>
      <w:r>
        <w:rPr>
          <w:rFonts w:ascii="Times New Roman" w:hAnsi="Times New Roman" w:eastAsia="方正仿宋_GBK" w:cs="Times New Roman"/>
          <w:szCs w:val="32"/>
        </w:rPr>
        <w:t>故障设置：列车出站进路未自动排列。</w:t>
      </w:r>
    </w:p>
    <w:p>
      <w:pPr>
        <w:adjustRightInd/>
        <w:snapToGrid/>
        <w:spacing w:line="590" w:lineRule="exact"/>
        <w:ind w:firstLine="640"/>
        <w:rPr>
          <w:rFonts w:ascii="Times New Roman" w:hAnsi="Times New Roman" w:eastAsia="方正仿宋_GBK" w:cs="Times New Roman"/>
          <w:szCs w:val="32"/>
        </w:rPr>
      </w:pPr>
      <w:r>
        <w:rPr>
          <w:rFonts w:ascii="Times New Roman" w:hAnsi="Times New Roman" w:eastAsia="方正仿宋_GBK" w:cs="Times New Roman"/>
          <w:szCs w:val="32"/>
        </w:rPr>
        <w:t>完成操作：调度员确认情况后人工排列出站进路，组织列车出站。</w:t>
      </w:r>
    </w:p>
    <w:tbl>
      <w:tblPr>
        <w:tblStyle w:val="31"/>
        <w:tblW w:w="5000" w:type="pct"/>
        <w:tblInd w:w="0" w:type="dxa"/>
        <w:tblLayout w:type="autofit"/>
        <w:tblCellMar>
          <w:top w:w="0" w:type="dxa"/>
          <w:left w:w="108" w:type="dxa"/>
          <w:bottom w:w="0" w:type="dxa"/>
          <w:right w:w="108" w:type="dxa"/>
        </w:tblCellMar>
      </w:tblPr>
      <w:tblGrid>
        <w:gridCol w:w="1124"/>
        <w:gridCol w:w="4380"/>
        <w:gridCol w:w="2872"/>
        <w:gridCol w:w="685"/>
      </w:tblGrid>
      <w:tr>
        <w:tblPrEx>
          <w:tblCellMar>
            <w:top w:w="0" w:type="dxa"/>
            <w:left w:w="108" w:type="dxa"/>
            <w:bottom w:w="0" w:type="dxa"/>
            <w:right w:w="108" w:type="dxa"/>
          </w:tblCellMar>
        </w:tblPrEx>
        <w:trPr>
          <w:trHeight w:val="422" w:hRule="atLeast"/>
        </w:trPr>
        <w:tc>
          <w:tcPr>
            <w:tcW w:w="5000" w:type="pct"/>
            <w:gridSpan w:val="4"/>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b/>
                <w:bCs/>
                <w:kern w:val="0"/>
                <w:sz w:val="21"/>
                <w:szCs w:val="21"/>
              </w:rPr>
            </w:pPr>
            <w:r>
              <w:rPr>
                <w:rFonts w:hint="eastAsia" w:ascii="仿宋" w:hAnsi="仿宋" w:cs="仿宋"/>
                <w:b/>
                <w:bCs/>
                <w:kern w:val="0"/>
                <w:sz w:val="21"/>
                <w:szCs w:val="21"/>
              </w:rPr>
              <w:t>内容三：进路不自排处置</w:t>
            </w:r>
          </w:p>
        </w:tc>
      </w:tr>
      <w:tr>
        <w:tblPrEx>
          <w:tblCellMar>
            <w:top w:w="0" w:type="dxa"/>
            <w:left w:w="108" w:type="dxa"/>
            <w:bottom w:w="0" w:type="dxa"/>
            <w:right w:w="108" w:type="dxa"/>
          </w:tblCellMar>
        </w:tblPrEx>
        <w:trPr>
          <w:trHeight w:val="451" w:hRule="atLeast"/>
        </w:trPr>
        <w:tc>
          <w:tcPr>
            <w:tcW w:w="620" w:type="pct"/>
            <w:tcBorders>
              <w:top w:val="nil"/>
              <w:left w:val="single" w:color="000000" w:sz="4" w:space="0"/>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作业程序</w:t>
            </w:r>
          </w:p>
        </w:tc>
        <w:tc>
          <w:tcPr>
            <w:tcW w:w="2417" w:type="pct"/>
            <w:tcBorders>
              <w:top w:val="nil"/>
              <w:left w:val="nil"/>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调度员作业内容</w:t>
            </w:r>
          </w:p>
        </w:tc>
        <w:tc>
          <w:tcPr>
            <w:tcW w:w="1585" w:type="pct"/>
            <w:tcBorders>
              <w:top w:val="nil"/>
              <w:left w:val="nil"/>
              <w:bottom w:val="single" w:color="000000" w:sz="4" w:space="0"/>
              <w:right w:val="nil"/>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仿真系统</w:t>
            </w:r>
          </w:p>
        </w:tc>
        <w:tc>
          <w:tcPr>
            <w:tcW w:w="376" w:type="pct"/>
            <w:tcBorders>
              <w:top w:val="nil"/>
              <w:left w:val="single" w:color="000000" w:sz="4" w:space="0"/>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分数</w:t>
            </w:r>
          </w:p>
        </w:tc>
      </w:tr>
      <w:tr>
        <w:tblPrEx>
          <w:tblCellMar>
            <w:top w:w="0" w:type="dxa"/>
            <w:left w:w="108" w:type="dxa"/>
            <w:bottom w:w="0" w:type="dxa"/>
            <w:right w:w="108" w:type="dxa"/>
          </w:tblCellMar>
        </w:tblPrEx>
        <w:trPr>
          <w:trHeight w:val="588" w:hRule="atLeast"/>
        </w:trPr>
        <w:tc>
          <w:tcPr>
            <w:tcW w:w="620" w:type="pct"/>
            <w:tcBorders>
              <w:top w:val="nil"/>
              <w:left w:val="single" w:color="000000" w:sz="4" w:space="0"/>
              <w:bottom w:val="single" w:color="auto"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场景建立</w:t>
            </w:r>
          </w:p>
        </w:tc>
        <w:tc>
          <w:tcPr>
            <w:tcW w:w="2417" w:type="pct"/>
            <w:tcBorders>
              <w:top w:val="nil"/>
              <w:left w:val="nil"/>
              <w:bottom w:val="single" w:color="auto"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1962" w:type="pct"/>
            <w:gridSpan w:val="2"/>
            <w:tcBorders>
              <w:top w:val="nil"/>
              <w:left w:val="nil"/>
              <w:bottom w:val="single" w:color="auto"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XX站发车进路未触发</w:t>
            </w:r>
          </w:p>
        </w:tc>
      </w:tr>
      <w:tr>
        <w:tblPrEx>
          <w:tblCellMar>
            <w:top w:w="0" w:type="dxa"/>
            <w:left w:w="108" w:type="dxa"/>
            <w:bottom w:w="0" w:type="dxa"/>
            <w:right w:w="108" w:type="dxa"/>
          </w:tblCellMar>
        </w:tblPrEx>
        <w:trPr>
          <w:trHeight w:val="392" w:hRule="atLeast"/>
        </w:trPr>
        <w:tc>
          <w:tcPr>
            <w:tcW w:w="620" w:type="pct"/>
            <w:vMerge w:val="restart"/>
            <w:tcBorders>
              <w:top w:val="single" w:color="auto" w:sz="4" w:space="0"/>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ATS操作</w:t>
            </w:r>
          </w:p>
        </w:tc>
        <w:tc>
          <w:tcPr>
            <w:tcW w:w="2417" w:type="pct"/>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操作ATS系统终端，人工排列进路。</w:t>
            </w:r>
          </w:p>
        </w:tc>
        <w:tc>
          <w:tcPr>
            <w:tcW w:w="1962" w:type="pct"/>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p>
        </w:tc>
      </w:tr>
      <w:tr>
        <w:tblPrEx>
          <w:tblCellMar>
            <w:top w:w="0" w:type="dxa"/>
            <w:left w:w="108" w:type="dxa"/>
            <w:bottom w:w="0" w:type="dxa"/>
            <w:right w:w="108" w:type="dxa"/>
          </w:tblCellMar>
        </w:tblPrEx>
        <w:trPr>
          <w:trHeight w:val="335" w:hRule="atLeast"/>
        </w:trPr>
        <w:tc>
          <w:tcPr>
            <w:tcW w:w="620" w:type="pct"/>
            <w:vMerge w:val="continue"/>
            <w:tcBorders>
              <w:top w:val="single" w:color="auto" w:sz="4" w:space="0"/>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417" w:type="pct"/>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1962" w:type="pct"/>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XX进路排列成功，信号开放</w:t>
            </w:r>
          </w:p>
        </w:tc>
      </w:tr>
      <w:tr>
        <w:tblPrEx>
          <w:tblCellMar>
            <w:top w:w="0" w:type="dxa"/>
            <w:left w:w="108" w:type="dxa"/>
            <w:bottom w:w="0" w:type="dxa"/>
            <w:right w:w="108" w:type="dxa"/>
          </w:tblCellMar>
        </w:tblPrEx>
        <w:trPr>
          <w:trHeight w:val="549" w:hRule="atLeast"/>
        </w:trPr>
        <w:tc>
          <w:tcPr>
            <w:tcW w:w="5000" w:type="pct"/>
            <w:gridSpan w:val="4"/>
            <w:tcBorders>
              <w:top w:val="single" w:color="auto" w:sz="4" w:space="0"/>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因该故障处置不及时，因该故障导致出现列车晚点30秒或列车区间迫停的情况，扣5分</w:t>
            </w:r>
          </w:p>
        </w:tc>
      </w:tr>
    </w:tbl>
    <w:p>
      <w:pPr>
        <w:pStyle w:val="7"/>
        <w:numPr>
          <w:ilvl w:val="0"/>
          <w:numId w:val="0"/>
        </w:numPr>
        <w:spacing w:line="590" w:lineRule="exact"/>
        <w:ind w:firstLine="643" w:firstLineChars="200"/>
        <w:jc w:val="both"/>
        <w:rPr>
          <w:rFonts w:ascii="Times New Roman" w:hAnsi="Times New Roman" w:eastAsia="方正仿宋_GBK" w:cs="Times New Roman"/>
          <w:color w:val="000000" w:themeColor="text1"/>
          <w:szCs w:val="32"/>
          <w14:textFill>
            <w14:solidFill>
              <w14:schemeClr w14:val="tx1"/>
            </w14:solidFill>
          </w14:textFill>
        </w:rPr>
      </w:pPr>
      <w:r>
        <w:rPr>
          <w:rFonts w:ascii="Times New Roman" w:hAnsi="Times New Roman" w:eastAsia="方正仿宋_GBK" w:cs="Times New Roman"/>
          <w:color w:val="000000" w:themeColor="text1"/>
          <w:szCs w:val="32"/>
          <w14:textFill>
            <w14:solidFill>
              <w14:schemeClr w14:val="tx1"/>
            </w14:solidFill>
          </w14:textFill>
        </w:rPr>
        <w:t>内容四：道岔故障处置</w:t>
      </w:r>
    </w:p>
    <w:p>
      <w:pPr>
        <w:adjustRightInd/>
        <w:snapToGrid/>
        <w:spacing w:line="590" w:lineRule="exact"/>
        <w:ind w:firstLine="640"/>
        <w:rPr>
          <w:rFonts w:ascii="Times New Roman" w:hAnsi="Times New Roman" w:eastAsia="方正仿宋_GBK" w:cs="Times New Roman"/>
          <w:szCs w:val="32"/>
        </w:rPr>
      </w:pPr>
      <w:r>
        <w:rPr>
          <w:rFonts w:ascii="Times New Roman" w:hAnsi="Times New Roman" w:eastAsia="方正仿宋_GBK" w:cs="Times New Roman"/>
          <w:szCs w:val="32"/>
        </w:rPr>
        <w:t>故障设置：某道岔红闪，单操一次后故障消失。</w:t>
      </w:r>
    </w:p>
    <w:p>
      <w:pPr>
        <w:adjustRightInd/>
        <w:snapToGrid/>
        <w:spacing w:line="590" w:lineRule="exact"/>
        <w:ind w:firstLine="640"/>
        <w:rPr>
          <w:rFonts w:ascii="Times New Roman" w:hAnsi="Times New Roman" w:eastAsia="方正仿宋_GBK" w:cs="Times New Roman"/>
          <w:szCs w:val="32"/>
        </w:rPr>
      </w:pPr>
      <w:r>
        <w:rPr>
          <w:rFonts w:ascii="Times New Roman" w:hAnsi="Times New Roman" w:eastAsia="方正仿宋_GBK" w:cs="Times New Roman"/>
          <w:szCs w:val="32"/>
        </w:rPr>
        <w:t>完成操作：调度员确认情况后单操一次，故障恢复。</w:t>
      </w:r>
    </w:p>
    <w:tbl>
      <w:tblPr>
        <w:tblStyle w:val="31"/>
        <w:tblW w:w="5000" w:type="pct"/>
        <w:tblInd w:w="0" w:type="dxa"/>
        <w:tblLayout w:type="autofit"/>
        <w:tblCellMar>
          <w:top w:w="0" w:type="dxa"/>
          <w:left w:w="108" w:type="dxa"/>
          <w:bottom w:w="0" w:type="dxa"/>
          <w:right w:w="108" w:type="dxa"/>
        </w:tblCellMar>
      </w:tblPr>
      <w:tblGrid>
        <w:gridCol w:w="1145"/>
        <w:gridCol w:w="4349"/>
        <w:gridCol w:w="3567"/>
      </w:tblGrid>
      <w:tr>
        <w:tblPrEx>
          <w:tblCellMar>
            <w:top w:w="0" w:type="dxa"/>
            <w:left w:w="108" w:type="dxa"/>
            <w:bottom w:w="0" w:type="dxa"/>
            <w:right w:w="108" w:type="dxa"/>
          </w:tblCellMar>
        </w:tblPrEx>
        <w:trPr>
          <w:trHeight w:val="319" w:hRule="atLeast"/>
        </w:trPr>
        <w:tc>
          <w:tcPr>
            <w:tcW w:w="5000" w:type="pct"/>
            <w:gridSpan w:val="3"/>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b/>
                <w:bCs/>
                <w:kern w:val="0"/>
                <w:sz w:val="21"/>
                <w:szCs w:val="21"/>
              </w:rPr>
            </w:pPr>
            <w:r>
              <w:rPr>
                <w:rFonts w:hint="eastAsia" w:ascii="仿宋" w:hAnsi="仿宋" w:cs="仿宋"/>
                <w:b/>
                <w:bCs/>
                <w:kern w:val="0"/>
                <w:sz w:val="21"/>
                <w:szCs w:val="21"/>
              </w:rPr>
              <w:t>道岔故障处置</w:t>
            </w:r>
          </w:p>
        </w:tc>
      </w:tr>
      <w:tr>
        <w:tblPrEx>
          <w:tblCellMar>
            <w:top w:w="0" w:type="dxa"/>
            <w:left w:w="108" w:type="dxa"/>
            <w:bottom w:w="0" w:type="dxa"/>
            <w:right w:w="108" w:type="dxa"/>
          </w:tblCellMar>
        </w:tblPrEx>
        <w:trPr>
          <w:trHeight w:val="319" w:hRule="atLeast"/>
        </w:trPr>
        <w:tc>
          <w:tcPr>
            <w:tcW w:w="632" w:type="pc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作业程序</w:t>
            </w:r>
          </w:p>
        </w:tc>
        <w:tc>
          <w:tcPr>
            <w:tcW w:w="2400" w:type="pc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调度员作业内容</w:t>
            </w:r>
          </w:p>
        </w:tc>
        <w:tc>
          <w:tcPr>
            <w:tcW w:w="1966" w:type="pc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仿真系统</w:t>
            </w:r>
          </w:p>
        </w:tc>
      </w:tr>
      <w:tr>
        <w:tblPrEx>
          <w:tblCellMar>
            <w:top w:w="0" w:type="dxa"/>
            <w:left w:w="108" w:type="dxa"/>
            <w:bottom w:w="0" w:type="dxa"/>
            <w:right w:w="108" w:type="dxa"/>
          </w:tblCellMar>
        </w:tblPrEx>
        <w:trPr>
          <w:trHeight w:val="319" w:hRule="atLeast"/>
        </w:trPr>
        <w:tc>
          <w:tcPr>
            <w:tcW w:w="632" w:type="pct"/>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场景建立</w:t>
            </w:r>
          </w:p>
        </w:tc>
        <w:tc>
          <w:tcPr>
            <w:tcW w:w="2400" w:type="pct"/>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1966" w:type="pct"/>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XX站XX道岔红闪</w:t>
            </w:r>
          </w:p>
        </w:tc>
      </w:tr>
      <w:tr>
        <w:tblPrEx>
          <w:tblCellMar>
            <w:top w:w="0" w:type="dxa"/>
            <w:left w:w="108" w:type="dxa"/>
            <w:bottom w:w="0" w:type="dxa"/>
            <w:right w:w="108" w:type="dxa"/>
          </w:tblCellMar>
        </w:tblPrEx>
        <w:trPr>
          <w:trHeight w:val="319" w:hRule="atLeast"/>
        </w:trPr>
        <w:tc>
          <w:tcPr>
            <w:tcW w:w="632" w:type="pct"/>
            <w:vMerge w:val="restart"/>
            <w:tcBorders>
              <w:top w:val="single" w:color="auto" w:sz="4" w:space="0"/>
              <w:left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ATS操作</w:t>
            </w:r>
          </w:p>
        </w:tc>
        <w:tc>
          <w:tcPr>
            <w:tcW w:w="2400" w:type="pct"/>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操作ATS系统终端，转换XX道岔一次。</w:t>
            </w:r>
          </w:p>
        </w:tc>
        <w:tc>
          <w:tcPr>
            <w:tcW w:w="1966" w:type="pct"/>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p>
        </w:tc>
      </w:tr>
      <w:tr>
        <w:tblPrEx>
          <w:tblCellMar>
            <w:top w:w="0" w:type="dxa"/>
            <w:left w:w="108" w:type="dxa"/>
            <w:bottom w:w="0" w:type="dxa"/>
            <w:right w:w="108" w:type="dxa"/>
          </w:tblCellMar>
        </w:tblPrEx>
        <w:trPr>
          <w:trHeight w:val="405" w:hRule="atLeast"/>
        </w:trPr>
        <w:tc>
          <w:tcPr>
            <w:tcW w:w="632" w:type="pct"/>
            <w:vMerge w:val="continue"/>
            <w:tcBorders>
              <w:top w:val="single" w:color="auto" w:sz="4" w:space="0"/>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400" w:type="pct"/>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p>
        </w:tc>
        <w:tc>
          <w:tcPr>
            <w:tcW w:w="1966" w:type="pct"/>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XX道岔恢复正常显示</w:t>
            </w:r>
          </w:p>
        </w:tc>
      </w:tr>
      <w:tr>
        <w:tblPrEx>
          <w:tblCellMar>
            <w:top w:w="0" w:type="dxa"/>
            <w:left w:w="108" w:type="dxa"/>
            <w:bottom w:w="0" w:type="dxa"/>
            <w:right w:w="108" w:type="dxa"/>
          </w:tblCellMar>
        </w:tblPrEx>
        <w:trPr>
          <w:trHeight w:val="405" w:hRule="atLeast"/>
        </w:trPr>
        <w:tc>
          <w:tcPr>
            <w:tcW w:w="5000" w:type="pct"/>
            <w:gridSpan w:val="3"/>
            <w:tcBorders>
              <w:top w:val="single" w:color="auto" w:sz="4" w:space="0"/>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因该故障处置不及时，因该故障导致出现列车晚点30秒或列车区间迫停的情况，扣5分</w:t>
            </w:r>
          </w:p>
        </w:tc>
      </w:tr>
    </w:tbl>
    <w:p>
      <w:pPr>
        <w:pStyle w:val="6"/>
        <w:numPr>
          <w:ilvl w:val="0"/>
          <w:numId w:val="0"/>
        </w:numPr>
        <w:spacing w:line="590" w:lineRule="exact"/>
        <w:ind w:firstLine="643" w:firstLineChars="200"/>
        <w:jc w:val="both"/>
        <w:rPr>
          <w:rFonts w:ascii="Times New Roman" w:hAnsi="Times New Roman" w:eastAsia="方正仿宋_GBK" w:cs="Times New Roman"/>
        </w:rPr>
      </w:pPr>
      <w:r>
        <w:rPr>
          <w:rFonts w:hint="eastAsia" w:ascii="Times New Roman" w:hAnsi="Times New Roman" w:eastAsia="方正仿宋_GBK" w:cs="Times New Roman"/>
        </w:rPr>
        <w:t>3．</w:t>
      </w:r>
      <w:r>
        <w:rPr>
          <w:rFonts w:ascii="Times New Roman" w:hAnsi="Times New Roman" w:eastAsia="方正仿宋_GBK" w:cs="Times New Roman"/>
        </w:rPr>
        <w:t>突发事件应急处置</w:t>
      </w:r>
      <w:r>
        <w:rPr>
          <w:rFonts w:hint="eastAsia" w:ascii="Times New Roman" w:hAnsi="Times New Roman" w:eastAsia="方正仿宋_GBK" w:cs="Times New Roman"/>
        </w:rPr>
        <w:t>（主场景）（</w:t>
      </w:r>
      <w:r>
        <w:rPr>
          <w:rFonts w:hint="eastAsia"/>
        </w:rPr>
        <w:t>附件二</w:t>
      </w:r>
      <w:r>
        <w:rPr>
          <w:rFonts w:hint="eastAsia" w:ascii="Times New Roman" w:hAnsi="Times New Roman" w:eastAsia="方正仿宋_GBK" w:cs="Times New Roman"/>
        </w:rPr>
        <w:t>：竞赛系统所用运行图）</w:t>
      </w:r>
    </w:p>
    <w:p>
      <w:pPr>
        <w:pStyle w:val="7"/>
        <w:numPr>
          <w:ilvl w:val="0"/>
          <w:numId w:val="0"/>
        </w:numPr>
        <w:spacing w:line="590" w:lineRule="exact"/>
        <w:ind w:firstLine="643" w:firstLineChars="200"/>
        <w:jc w:val="both"/>
        <w:rPr>
          <w:rFonts w:ascii="Times New Roman" w:hAnsi="Times New Roman" w:eastAsia="方正仿宋_GBK" w:cs="Times New Roman"/>
          <w:color w:val="000000" w:themeColor="text1"/>
          <w:szCs w:val="32"/>
          <w14:textFill>
            <w14:solidFill>
              <w14:schemeClr w14:val="tx1"/>
            </w14:solidFill>
          </w14:textFill>
        </w:rPr>
      </w:pPr>
      <w:r>
        <w:rPr>
          <w:rFonts w:ascii="Times New Roman" w:hAnsi="Times New Roman" w:eastAsia="方正仿宋_GBK" w:cs="Times New Roman"/>
          <w:color w:val="000000" w:themeColor="text1"/>
          <w:szCs w:val="32"/>
          <w14:textFill>
            <w14:solidFill>
              <w14:schemeClr w14:val="tx1"/>
            </w14:solidFill>
          </w14:textFill>
        </w:rPr>
        <w:t>内容一：区域控制器故障应急处置</w:t>
      </w:r>
    </w:p>
    <w:p>
      <w:pPr>
        <w:spacing w:line="590" w:lineRule="exact"/>
        <w:ind w:firstLine="643"/>
        <w:rPr>
          <w:rFonts w:ascii="Times New Roman" w:hAnsi="Times New Roman" w:eastAsia="方正仿宋_GBK" w:cs="Times New Roman"/>
          <w:szCs w:val="32"/>
        </w:rPr>
      </w:pPr>
      <w:r>
        <w:rPr>
          <w:b/>
          <w:bCs/>
        </w:rPr>
        <w:t>场景描述</w:t>
      </w:r>
      <w:r>
        <w:t>：区域控制器故障后，对迫停列车分别采取确认方式，组织列车运行至前方车站。依据列车位置发布相关区段改按进路闭塞法命令，组</w:t>
      </w:r>
      <w:r>
        <w:rPr>
          <w:rFonts w:ascii="Times New Roman" w:hAnsi="Times New Roman" w:eastAsia="方正仿宋_GBK" w:cs="Times New Roman"/>
          <w:szCs w:val="32"/>
        </w:rPr>
        <w:t>织列车有序通过故障区段。</w:t>
      </w:r>
    </w:p>
    <w:p>
      <w:pPr>
        <w:adjustRightInd/>
        <w:snapToGrid/>
        <w:spacing w:line="590" w:lineRule="exact"/>
        <w:ind w:firstLine="643"/>
        <w:rPr>
          <w:rFonts w:ascii="Times New Roman" w:hAnsi="Times New Roman" w:eastAsia="方正仿宋_GBK" w:cs="Times New Roman"/>
          <w:szCs w:val="32"/>
        </w:rPr>
      </w:pPr>
      <w:r>
        <w:rPr>
          <w:rFonts w:ascii="Times New Roman" w:hAnsi="Times New Roman" w:eastAsia="方正仿宋_GBK" w:cs="Times New Roman"/>
          <w:b/>
          <w:bCs/>
        </w:rPr>
        <w:t>处置流程</w:t>
      </w:r>
      <w:r>
        <w:rPr>
          <w:rFonts w:ascii="Times New Roman" w:hAnsi="Times New Roman" w:eastAsia="方正仿宋_GBK" w:cs="Times New Roman"/>
          <w:b/>
          <w:bCs/>
          <w:szCs w:val="32"/>
        </w:rPr>
        <w:t>：</w:t>
      </w:r>
      <w:r>
        <w:rPr>
          <w:rFonts w:ascii="Times New Roman" w:hAnsi="Times New Roman" w:eastAsia="方正仿宋_GBK" w:cs="Times New Roman"/>
          <w:szCs w:val="32"/>
        </w:rPr>
        <w:t>区域控制器故障后，对迫停列车分别采取确认方式，组织列车运行至前方车站。依据列车位置发布相关区段改按进路闭塞法命令，组织列车有序通过故障区段。</w:t>
      </w:r>
    </w:p>
    <w:p>
      <w:pPr>
        <w:spacing w:line="590" w:lineRule="exact"/>
        <w:ind w:firstLine="643"/>
        <w:rPr>
          <w:rFonts w:ascii="Times New Roman" w:hAnsi="Times New Roman" w:eastAsia="方正仿宋_GBK" w:cs="Times New Roman"/>
        </w:rPr>
      </w:pPr>
      <w:r>
        <w:rPr>
          <w:rFonts w:ascii="Times New Roman" w:hAnsi="Times New Roman" w:eastAsia="方正仿宋_GBK" w:cs="Times New Roman"/>
          <w:b/>
          <w:bCs/>
        </w:rPr>
        <w:t>完成操作</w:t>
      </w:r>
      <w:r>
        <w:rPr>
          <w:rFonts w:ascii="Times New Roman" w:hAnsi="Times New Roman" w:eastAsia="方正仿宋_GBK" w:cs="Times New Roman"/>
          <w:b/>
          <w:bCs/>
          <w:szCs w:val="32"/>
        </w:rPr>
        <w:t>：</w:t>
      </w:r>
      <w:r>
        <w:rPr>
          <w:rFonts w:ascii="Times New Roman" w:hAnsi="Times New Roman" w:eastAsia="方正仿宋_GBK" w:cs="Times New Roman"/>
        </w:rPr>
        <w:t>调度员按照标准处理流程进行区域控制器故障应急处置，未完成或执行错误的步骤不得分</w:t>
      </w:r>
    </w:p>
    <w:tbl>
      <w:tblPr>
        <w:tblStyle w:val="31"/>
        <w:tblW w:w="5000" w:type="pct"/>
        <w:tblInd w:w="0" w:type="dxa"/>
        <w:tblLayout w:type="autofit"/>
        <w:tblCellMar>
          <w:top w:w="0" w:type="dxa"/>
          <w:left w:w="108" w:type="dxa"/>
          <w:bottom w:w="0" w:type="dxa"/>
          <w:right w:w="108" w:type="dxa"/>
        </w:tblCellMar>
      </w:tblPr>
      <w:tblGrid>
        <w:gridCol w:w="1266"/>
        <w:gridCol w:w="4109"/>
        <w:gridCol w:w="2989"/>
        <w:gridCol w:w="697"/>
      </w:tblGrid>
      <w:tr>
        <w:tblPrEx>
          <w:tblCellMar>
            <w:top w:w="0" w:type="dxa"/>
            <w:left w:w="108" w:type="dxa"/>
            <w:bottom w:w="0" w:type="dxa"/>
            <w:right w:w="108" w:type="dxa"/>
          </w:tblCellMar>
        </w:tblPrEx>
        <w:trPr>
          <w:trHeight w:val="717" w:hRule="atLeast"/>
        </w:trPr>
        <w:tc>
          <w:tcPr>
            <w:tcW w:w="5000" w:type="pct"/>
            <w:gridSpan w:val="4"/>
            <w:tcBorders>
              <w:top w:val="single" w:color="000000" w:sz="4" w:space="0"/>
              <w:left w:val="single" w:color="000000" w:sz="4" w:space="0"/>
              <w:bottom w:val="single" w:color="auto"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b/>
                <w:bCs/>
                <w:color w:val="000000"/>
                <w:kern w:val="0"/>
                <w:sz w:val="21"/>
                <w:szCs w:val="21"/>
              </w:rPr>
            </w:pPr>
            <w:r>
              <w:rPr>
                <w:rFonts w:hint="eastAsia" w:ascii="仿宋" w:hAnsi="仿宋" w:cs="仿宋"/>
                <w:b/>
                <w:bCs/>
                <w:color w:val="000000"/>
                <w:kern w:val="0"/>
                <w:sz w:val="21"/>
                <w:szCs w:val="21"/>
              </w:rPr>
              <w:t>区域控制器故障</w:t>
            </w:r>
          </w:p>
        </w:tc>
      </w:tr>
      <w:tr>
        <w:tblPrEx>
          <w:tblCellMar>
            <w:top w:w="0" w:type="dxa"/>
            <w:left w:w="108" w:type="dxa"/>
            <w:bottom w:w="0" w:type="dxa"/>
            <w:right w:w="108" w:type="dxa"/>
          </w:tblCellMar>
        </w:tblPrEx>
        <w:trPr>
          <w:trHeight w:val="491" w:hRule="atLeast"/>
        </w:trPr>
        <w:tc>
          <w:tcPr>
            <w:tcW w:w="646" w:type="pct"/>
            <w:tcBorders>
              <w:top w:val="nil"/>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作业程序</w:t>
            </w: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调度员作业内容</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仿真系统</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分数</w:t>
            </w:r>
          </w:p>
        </w:tc>
      </w:tr>
      <w:tr>
        <w:tblPrEx>
          <w:tblCellMar>
            <w:top w:w="0" w:type="dxa"/>
            <w:left w:w="108" w:type="dxa"/>
            <w:bottom w:w="0" w:type="dxa"/>
            <w:right w:w="108" w:type="dxa"/>
          </w:tblCellMar>
        </w:tblPrEx>
        <w:trPr>
          <w:trHeight w:val="555" w:hRule="atLeast"/>
        </w:trPr>
        <w:tc>
          <w:tcPr>
            <w:tcW w:w="646" w:type="pct"/>
            <w:tcBorders>
              <w:top w:val="nil"/>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场景建立</w:t>
            </w: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09:50，会展中心站ZC故障。</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988" w:hRule="atLeast"/>
        </w:trPr>
        <w:tc>
          <w:tcPr>
            <w:tcW w:w="646" w:type="pct"/>
            <w:vMerge w:val="restart"/>
            <w:tcBorders>
              <w:top w:val="nil"/>
              <w:left w:val="single" w:color="auto" w:sz="4" w:space="0"/>
              <w:bottom w:val="single" w:color="000000"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车站汇报</w:t>
            </w: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仿真系统：“行调，会展中心站ZC亮红灯，ZC区域内列车均降级停车。”</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17"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行调：“会展中心站ZC亮红灯，ZC区域内列车均降级停车，行调101”</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717" w:hRule="atLeast"/>
        </w:trPr>
        <w:tc>
          <w:tcPr>
            <w:tcW w:w="646" w:type="pct"/>
            <w:vMerge w:val="restart"/>
            <w:tcBorders>
              <w:top w:val="nil"/>
              <w:left w:val="single" w:color="auto" w:sz="4" w:space="0"/>
              <w:bottom w:val="single" w:color="000000"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联控19105</w:t>
            </w: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仿真系统：“19105次呼叫行调，列车市图书馆下行出站紧制降级”</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17"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行调无线电回复：“19105次原地待令，做好乘客服务”</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717"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仿真系统：“19105次收到”</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545" w:hRule="atLeast"/>
        </w:trPr>
        <w:tc>
          <w:tcPr>
            <w:tcW w:w="646" w:type="pct"/>
            <w:vMerge w:val="restart"/>
            <w:tcBorders>
              <w:top w:val="nil"/>
              <w:left w:val="single" w:color="auto" w:sz="4" w:space="0"/>
              <w:bottom w:val="single" w:color="000000"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通知司机</w:t>
            </w: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行调无线电通知会展中心至植物园上下行各次列车：“因会展中心站ZC故障，会展中心至植物园上下行列车建立BM模式，以RM模式动车，行调101。”</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717"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392"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行调无线电通知全线各次列车司机：“命令号201，全线各次列车在会展中心站至植物园站上下行采用进路闭塞法组织行车，行调101。”</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717"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394" w:hRule="atLeast"/>
        </w:trPr>
        <w:tc>
          <w:tcPr>
            <w:tcW w:w="646" w:type="pct"/>
            <w:vMerge w:val="restart"/>
            <w:tcBorders>
              <w:top w:val="nil"/>
              <w:left w:val="single" w:color="auto" w:sz="4" w:space="0"/>
              <w:bottom w:val="single" w:color="000000"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通知车站</w:t>
            </w: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行调调度电话通知全线各站：“命令号201，全线各次列车在会展中心站至植物园站上下行采用进路闭塞法组织行车，行调101。”</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717"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90" w:hRule="atLeast"/>
        </w:trPr>
        <w:tc>
          <w:tcPr>
            <w:tcW w:w="646" w:type="pct"/>
            <w:vMerge w:val="restart"/>
            <w:tcBorders>
              <w:top w:val="nil"/>
              <w:left w:val="single" w:color="auto" w:sz="4" w:space="0"/>
              <w:bottom w:val="single" w:color="000000"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16905取消回库</w:t>
            </w: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行调无线电通知会展中心折返线I道16905次司机：“16905次取消回库，确认前方进路安全，RM模式动车运行至会展中心转换轨I道停车换端待令”</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578"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17"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行调调度电话通知会展中心停车场场调：“16905次取消回库，在转换轨I道停车待令”</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535"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237" w:hRule="atLeast"/>
        </w:trPr>
        <w:tc>
          <w:tcPr>
            <w:tcW w:w="646" w:type="pct"/>
            <w:vMerge w:val="restart"/>
            <w:tcBorders>
              <w:top w:val="nil"/>
              <w:left w:val="single" w:color="auto" w:sz="4" w:space="0"/>
              <w:bottom w:val="single" w:color="000000"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11405限速</w:t>
            </w: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行调无线电通知11405次：“11405次限速40运行，体育中心至植物园下行每站多停30秒”</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@郑路1、11405次限速40km/h</w:t>
            </w:r>
            <w:r>
              <w:rPr>
                <w:rFonts w:hint="eastAsia" w:ascii="仿宋" w:hAnsi="仿宋" w:cs="仿宋"/>
                <w:kern w:val="0"/>
                <w:sz w:val="21"/>
                <w:szCs w:val="21"/>
              </w:rPr>
              <w:br w:type="textWrapping"/>
            </w:r>
            <w:r>
              <w:rPr>
                <w:rFonts w:hint="eastAsia" w:ascii="仿宋" w:hAnsi="仿宋" w:cs="仿宋"/>
                <w:kern w:val="0"/>
                <w:sz w:val="21"/>
                <w:szCs w:val="21"/>
              </w:rPr>
              <w:t>2、体育中心至植物园下行每站多停30秒</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459"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56" w:hRule="atLeast"/>
        </w:trPr>
        <w:tc>
          <w:tcPr>
            <w:tcW w:w="646" w:type="pct"/>
            <w:vMerge w:val="restart"/>
            <w:tcBorders>
              <w:top w:val="nil"/>
              <w:left w:val="single" w:color="auto" w:sz="4" w:space="0"/>
              <w:bottom w:val="single" w:color="000000"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信号重开</w:t>
            </w: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仿真系统：“行调，会展中心站上行11106次DDU显示有扣车图标”</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96"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行调ATS终端操作对S0107信号机执行重开列车信号</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5</w:t>
            </w:r>
          </w:p>
        </w:tc>
      </w:tr>
      <w:tr>
        <w:tblPrEx>
          <w:tblCellMar>
            <w:top w:w="0" w:type="dxa"/>
            <w:left w:w="108" w:type="dxa"/>
            <w:bottom w:w="0" w:type="dxa"/>
            <w:right w:w="108" w:type="dxa"/>
          </w:tblCellMar>
        </w:tblPrEx>
        <w:trPr>
          <w:trHeight w:val="286"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行调：“会展中心上行11106次开关门作业完毕，确认信号开放后凭地面信号动车”</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508"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仿真系统：“收到，出站信号机已开放”</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871" w:hRule="atLeast"/>
        </w:trPr>
        <w:tc>
          <w:tcPr>
            <w:tcW w:w="646" w:type="pct"/>
            <w:vMerge w:val="restart"/>
            <w:tcBorders>
              <w:top w:val="nil"/>
              <w:left w:val="single" w:color="auto" w:sz="4" w:space="0"/>
              <w:bottom w:val="single" w:color="000000"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抢修组织</w:t>
            </w: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仿真系统：“行调，信号专业到达会展中心站，申请进设备房抢修”</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345"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行调：“确认抢修影响及时间”</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717"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仿真系统：“行调，抢修期间需故障区域列车在站停稳配合，需要3分钟时间”</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323"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行调：“等行调通知”</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411"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551" w:hRule="atLeast"/>
        </w:trPr>
        <w:tc>
          <w:tcPr>
            <w:tcW w:w="646" w:type="pct"/>
            <w:vMerge w:val="restart"/>
            <w:tcBorders>
              <w:top w:val="nil"/>
              <w:left w:val="single" w:color="auto" w:sz="4" w:space="0"/>
              <w:bottom w:val="nil"/>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通知司机</w:t>
            </w: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行调无线电呼叫会展中心至植物园上下行各次列车：“会展中心至植物园上下行各次列车，在站列车开门待令，区间列车运行至前方站开门待令，做好乘客服务，行调101”</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553" w:hRule="atLeast"/>
        </w:trPr>
        <w:tc>
          <w:tcPr>
            <w:tcW w:w="646" w:type="pct"/>
            <w:vMerge w:val="continue"/>
            <w:tcBorders>
              <w:top w:val="nil"/>
              <w:left w:val="single" w:color="auto" w:sz="4" w:space="0"/>
              <w:bottom w:val="nil"/>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575" w:hRule="atLeast"/>
        </w:trPr>
        <w:tc>
          <w:tcPr>
            <w:tcW w:w="646" w:type="pct"/>
            <w:vMerge w:val="restart"/>
            <w:tcBorders>
              <w:top w:val="nil"/>
              <w:left w:val="single" w:color="auto" w:sz="4" w:space="0"/>
              <w:bottom w:val="nil"/>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植物园扣车</w:t>
            </w: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行调ATS终端操作对植物园下行设置扣车</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5</w:t>
            </w:r>
          </w:p>
        </w:tc>
      </w:tr>
      <w:tr>
        <w:tblPrEx>
          <w:tblCellMar>
            <w:top w:w="0" w:type="dxa"/>
            <w:left w:w="108" w:type="dxa"/>
            <w:bottom w:w="0" w:type="dxa"/>
            <w:right w:w="108" w:type="dxa"/>
          </w:tblCellMar>
        </w:tblPrEx>
        <w:trPr>
          <w:trHeight w:val="717" w:hRule="atLeast"/>
        </w:trPr>
        <w:tc>
          <w:tcPr>
            <w:tcW w:w="646" w:type="pct"/>
            <w:vMerge w:val="continue"/>
            <w:tcBorders>
              <w:top w:val="nil"/>
              <w:left w:val="single" w:color="auto" w:sz="4" w:space="0"/>
              <w:bottom w:val="nil"/>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行调调度电话呼叫植物园站：“植物园下行行调扣车，行调101”</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395" w:hRule="atLeast"/>
        </w:trPr>
        <w:tc>
          <w:tcPr>
            <w:tcW w:w="646" w:type="pct"/>
            <w:vMerge w:val="continue"/>
            <w:tcBorders>
              <w:top w:val="nil"/>
              <w:left w:val="single" w:color="auto" w:sz="4" w:space="0"/>
              <w:bottom w:val="nil"/>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699" w:hRule="atLeast"/>
        </w:trPr>
        <w:tc>
          <w:tcPr>
            <w:tcW w:w="646" w:type="pct"/>
            <w:vMerge w:val="restart"/>
            <w:tcBorders>
              <w:top w:val="nil"/>
              <w:left w:val="single" w:color="auto" w:sz="4" w:space="0"/>
              <w:bottom w:val="single" w:color="000000"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11505变更交路</w:t>
            </w: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行调操作ATS终端，排列X0914-X0906进路。</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5</w:t>
            </w:r>
          </w:p>
        </w:tc>
      </w:tr>
      <w:tr>
        <w:tblPrEx>
          <w:tblCellMar>
            <w:top w:w="0" w:type="dxa"/>
            <w:left w:w="108" w:type="dxa"/>
            <w:bottom w:w="0" w:type="dxa"/>
            <w:right w:w="108" w:type="dxa"/>
          </w:tblCellMar>
        </w:tblPrEx>
        <w:trPr>
          <w:trHeight w:val="695"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行调操作ATS终端，将X0906信号机交人工控。</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5</w:t>
            </w:r>
          </w:p>
        </w:tc>
      </w:tr>
      <w:tr>
        <w:tblPrEx>
          <w:tblCellMar>
            <w:top w:w="0" w:type="dxa"/>
            <w:left w:w="108" w:type="dxa"/>
            <w:bottom w:w="0" w:type="dxa"/>
            <w:right w:w="108" w:type="dxa"/>
          </w:tblCellMar>
        </w:tblPrEx>
        <w:trPr>
          <w:trHeight w:val="1257"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行调无线电通知11505次：“11505次体育中心下行清客，清客完毕经体育中心折返线I道运行至体育中心上行，往火车东站方向投入载客服务”</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616"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17"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行调调度电话通知体育中心站：“11505次体育中心下行清客，做好乘客服务”</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717"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926"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行调操作ATS系统终端，将11505车次改为11506254次</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5</w:t>
            </w:r>
          </w:p>
        </w:tc>
      </w:tr>
      <w:tr>
        <w:tblPrEx>
          <w:tblCellMar>
            <w:top w:w="0" w:type="dxa"/>
            <w:left w:w="108" w:type="dxa"/>
            <w:bottom w:w="0" w:type="dxa"/>
            <w:right w:w="108" w:type="dxa"/>
          </w:tblCellMar>
        </w:tblPrEx>
        <w:trPr>
          <w:trHeight w:val="56" w:hRule="atLeast"/>
        </w:trPr>
        <w:tc>
          <w:tcPr>
            <w:tcW w:w="646" w:type="pct"/>
            <w:vMerge w:val="restart"/>
            <w:tcBorders>
              <w:top w:val="nil"/>
              <w:left w:val="single" w:color="auto" w:sz="4" w:space="0"/>
              <w:bottom w:val="single" w:color="000000"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通知车站</w:t>
            </w: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行调调度电话通知会展中心站：“列车已在站台停稳，通知专业人员抓紧时间处理”</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56"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674" w:hRule="atLeast"/>
        </w:trPr>
        <w:tc>
          <w:tcPr>
            <w:tcW w:w="646" w:type="pct"/>
            <w:vMerge w:val="restart"/>
            <w:tcBorders>
              <w:top w:val="nil"/>
              <w:left w:val="single" w:color="auto" w:sz="4" w:space="0"/>
              <w:bottom w:val="single" w:color="000000"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故障恢复</w:t>
            </w: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仿真系统：“行调，专业人员已处理完毕，故障已恢复”</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712"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行调：“故障已恢复，通知专业人员在站保障”</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552"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254" w:hRule="atLeast"/>
        </w:trPr>
        <w:tc>
          <w:tcPr>
            <w:tcW w:w="646" w:type="pct"/>
            <w:vMerge w:val="restart"/>
            <w:tcBorders>
              <w:top w:val="nil"/>
              <w:left w:val="single" w:color="auto" w:sz="4" w:space="0"/>
              <w:bottom w:val="single" w:color="000000"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恢复正常行车</w:t>
            </w: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行调无线电呼叫全线各次列车：“命令号202，因会展中心ZC故障恢复，全线各次列车在会展中心站至植物园站上下行恢复CBTC模式驾驶，行调101”</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819"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142"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行调无线电呼叫会展中心至植物园上下行各次列车：“因会展中心ZC故障恢复，会展中心至植物园上下行各次列车关门动车，行调101”</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657"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17"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行调ATS终端操作取消植物园站下行扣车</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717" w:hRule="atLeast"/>
        </w:trPr>
        <w:tc>
          <w:tcPr>
            <w:tcW w:w="646" w:type="pct"/>
            <w:vMerge w:val="continue"/>
            <w:tcBorders>
              <w:top w:val="nil"/>
              <w:left w:val="single" w:color="auto" w:sz="4" w:space="0"/>
              <w:bottom w:val="single" w:color="000000"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行调操作ATS终端，将X0906信号机交自动控</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717" w:hRule="atLeast"/>
        </w:trPr>
        <w:tc>
          <w:tcPr>
            <w:tcW w:w="646" w:type="pct"/>
            <w:tcBorders>
              <w:top w:val="nil"/>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28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仿真系统：“区域控制器故障处置完毕”</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449" w:hRule="atLeast"/>
        </w:trPr>
        <w:tc>
          <w:tcPr>
            <w:tcW w:w="4598" w:type="pct"/>
            <w:gridSpan w:val="3"/>
            <w:tcBorders>
              <w:top w:val="nil"/>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合计</w:t>
            </w:r>
          </w:p>
        </w:tc>
        <w:tc>
          <w:tcPr>
            <w:tcW w:w="401"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100</w:t>
            </w:r>
          </w:p>
        </w:tc>
      </w:tr>
    </w:tbl>
    <w:p>
      <w:pPr>
        <w:pStyle w:val="2"/>
        <w:ind w:left="0" w:leftChars="0" w:right="2240" w:firstLine="0" w:firstLineChars="0"/>
      </w:pPr>
    </w:p>
    <w:p>
      <w:pPr>
        <w:pStyle w:val="7"/>
        <w:numPr>
          <w:ilvl w:val="0"/>
          <w:numId w:val="0"/>
        </w:numPr>
        <w:spacing w:line="590" w:lineRule="exact"/>
        <w:ind w:firstLine="643" w:firstLineChars="200"/>
        <w:jc w:val="both"/>
        <w:rPr>
          <w:rFonts w:ascii="Times New Roman" w:hAnsi="Times New Roman" w:eastAsia="方正仿宋_GBK" w:cs="Times New Roman"/>
          <w:color w:val="000000" w:themeColor="text1"/>
          <w:szCs w:val="32"/>
          <w14:textFill>
            <w14:solidFill>
              <w14:schemeClr w14:val="tx1"/>
            </w14:solidFill>
          </w14:textFill>
        </w:rPr>
      </w:pPr>
      <w:r>
        <w:rPr>
          <w:rFonts w:ascii="Times New Roman" w:hAnsi="Times New Roman" w:eastAsia="方正仿宋_GBK" w:cs="Times New Roman"/>
          <w:color w:val="000000" w:themeColor="text1"/>
          <w:szCs w:val="32"/>
          <w14:textFill>
            <w14:solidFill>
              <w14:schemeClr w14:val="tx1"/>
            </w14:solidFill>
          </w14:textFill>
        </w:rPr>
        <w:t>内容</w:t>
      </w:r>
      <w:r>
        <w:t>二</w:t>
      </w:r>
      <w:r>
        <w:rPr>
          <w:rFonts w:ascii="Times New Roman" w:hAnsi="Times New Roman" w:eastAsia="方正仿宋_GBK" w:cs="Times New Roman"/>
          <w:color w:val="000000" w:themeColor="text1"/>
          <w:szCs w:val="32"/>
          <w14:textFill>
            <w14:solidFill>
              <w14:schemeClr w14:val="tx1"/>
            </w14:solidFill>
          </w14:textFill>
        </w:rPr>
        <w:t>：车站站台门故障应急处置</w:t>
      </w:r>
    </w:p>
    <w:p>
      <w:pPr>
        <w:pStyle w:val="2"/>
        <w:spacing w:after="0" w:line="590" w:lineRule="exact"/>
        <w:ind w:left="0" w:leftChars="0" w:right="0" w:rightChars="0" w:firstLine="643"/>
        <w:rPr>
          <w:rFonts w:ascii="Times New Roman" w:hAnsi="Times New Roman" w:eastAsia="方正仿宋_GBK" w:cs="Times New Roman"/>
          <w:szCs w:val="32"/>
        </w:rPr>
      </w:pPr>
      <w:r>
        <w:rPr>
          <w:rFonts w:ascii="Times New Roman" w:hAnsi="Times New Roman" w:eastAsia="方正仿宋_GBK" w:cs="Times New Roman"/>
          <w:b/>
          <w:bCs/>
          <w:szCs w:val="32"/>
        </w:rPr>
        <w:t>场景</w:t>
      </w:r>
      <w:r>
        <w:rPr>
          <w:b/>
          <w:bCs/>
        </w:rPr>
        <w:t>描述</w:t>
      </w:r>
      <w:r>
        <w:rPr>
          <w:rFonts w:ascii="Times New Roman" w:hAnsi="Times New Roman" w:eastAsia="方正仿宋_GBK" w:cs="Times New Roman"/>
          <w:b/>
          <w:bCs/>
          <w:szCs w:val="32"/>
        </w:rPr>
        <w:t>：</w:t>
      </w:r>
      <w:r>
        <w:rPr>
          <w:rFonts w:ascii="Times New Roman" w:hAnsi="Times New Roman" w:eastAsia="方正仿宋_GBK" w:cs="Times New Roman"/>
          <w:szCs w:val="32"/>
        </w:rPr>
        <w:t>XX站下行站台门因故障全部无法打开，车站采取手动解锁方式，将站台门逐一打开进行乘降作业。</w:t>
      </w:r>
    </w:p>
    <w:p>
      <w:pPr>
        <w:pStyle w:val="2"/>
        <w:spacing w:after="0" w:line="590" w:lineRule="exact"/>
        <w:ind w:left="0" w:leftChars="0" w:right="0" w:rightChars="0" w:firstLine="643"/>
        <w:rPr>
          <w:rFonts w:ascii="Times New Roman" w:hAnsi="Times New Roman" w:eastAsia="方正仿宋_GBK" w:cs="Times New Roman"/>
          <w:szCs w:val="32"/>
        </w:rPr>
      </w:pPr>
      <w:r>
        <w:rPr>
          <w:rFonts w:ascii="Times New Roman" w:hAnsi="Times New Roman" w:eastAsia="方正仿宋_GBK" w:cs="Times New Roman"/>
          <w:b/>
          <w:bCs/>
          <w:szCs w:val="32"/>
        </w:rPr>
        <w:t>处置流程：</w:t>
      </w:r>
      <w:r>
        <w:rPr>
          <w:rFonts w:ascii="Times New Roman" w:hAnsi="Times New Roman" w:eastAsia="方正仿宋_GBK" w:cs="Times New Roman"/>
          <w:szCs w:val="32"/>
        </w:rPr>
        <w:t>XXXX次到达XX站下行由于站台门故障无法打开，车站采取手动解锁的方式打开站台门进行乘降作业，造成下行站台无法进行接发列车作业，后续列车XXXX次采取入XX站站前折返至上行站台进行乘降及折返作业。</w:t>
      </w:r>
    </w:p>
    <w:p>
      <w:pPr>
        <w:pStyle w:val="2"/>
        <w:spacing w:after="0" w:line="590" w:lineRule="exact"/>
        <w:ind w:left="0" w:leftChars="0" w:right="0" w:rightChars="0" w:firstLine="643"/>
        <w:rPr>
          <w:rFonts w:ascii="Times New Roman" w:hAnsi="Times New Roman" w:eastAsia="方正仿宋_GBK" w:cs="Times New Roman"/>
          <w:szCs w:val="32"/>
        </w:rPr>
      </w:pPr>
      <w:r>
        <w:rPr>
          <w:rFonts w:ascii="Times New Roman" w:hAnsi="Times New Roman" w:eastAsia="方正仿宋_GBK" w:cs="Times New Roman"/>
          <w:b/>
          <w:bCs/>
          <w:szCs w:val="32"/>
        </w:rPr>
        <w:t>完成操作：</w:t>
      </w:r>
      <w:r>
        <w:rPr>
          <w:rFonts w:ascii="Times New Roman" w:hAnsi="Times New Roman" w:eastAsia="方正仿宋_GBK" w:cs="Times New Roman"/>
          <w:szCs w:val="32"/>
        </w:rPr>
        <w:t>调度员按照标准处理流程进行车站整侧站台门无法打开应急处置，并合理进行行车组织，未完成或执行错误的步骤不得分。</w:t>
      </w:r>
    </w:p>
    <w:tbl>
      <w:tblPr>
        <w:tblStyle w:val="31"/>
        <w:tblW w:w="4998" w:type="pct"/>
        <w:tblInd w:w="0" w:type="dxa"/>
        <w:tblLayout w:type="autofit"/>
        <w:tblCellMar>
          <w:top w:w="0" w:type="dxa"/>
          <w:left w:w="108" w:type="dxa"/>
          <w:bottom w:w="0" w:type="dxa"/>
          <w:right w:w="108" w:type="dxa"/>
        </w:tblCellMar>
      </w:tblPr>
      <w:tblGrid>
        <w:gridCol w:w="1200"/>
        <w:gridCol w:w="4217"/>
        <w:gridCol w:w="3049"/>
        <w:gridCol w:w="591"/>
      </w:tblGrid>
      <w:tr>
        <w:tblPrEx>
          <w:tblCellMar>
            <w:top w:w="0" w:type="dxa"/>
            <w:left w:w="108" w:type="dxa"/>
            <w:bottom w:w="0" w:type="dxa"/>
            <w:right w:w="108" w:type="dxa"/>
          </w:tblCellMar>
        </w:tblPrEx>
        <w:trPr>
          <w:trHeight w:val="579" w:hRule="atLeast"/>
        </w:trPr>
        <w:tc>
          <w:tcPr>
            <w:tcW w:w="5000" w:type="pct"/>
            <w:gridSpan w:val="4"/>
            <w:tcBorders>
              <w:top w:val="single" w:color="000000" w:sz="4" w:space="0"/>
              <w:left w:val="single" w:color="000000" w:sz="4" w:space="0"/>
              <w:bottom w:val="single" w:color="000000"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b/>
                <w:bCs/>
                <w:kern w:val="0"/>
                <w:sz w:val="21"/>
                <w:szCs w:val="21"/>
              </w:rPr>
              <w:t>会展中心下行整侧滑动门故障</w:t>
            </w:r>
          </w:p>
        </w:tc>
      </w:tr>
      <w:tr>
        <w:tblPrEx>
          <w:tblCellMar>
            <w:top w:w="0" w:type="dxa"/>
            <w:left w:w="108" w:type="dxa"/>
            <w:bottom w:w="0" w:type="dxa"/>
            <w:right w:w="108" w:type="dxa"/>
          </w:tblCellMar>
        </w:tblPrEx>
        <w:trPr>
          <w:trHeight w:val="579" w:hRule="atLeast"/>
        </w:trPr>
        <w:tc>
          <w:tcPr>
            <w:tcW w:w="663" w:type="pct"/>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作业程序</w:t>
            </w:r>
          </w:p>
        </w:tc>
        <w:tc>
          <w:tcPr>
            <w:tcW w:w="2328"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作业内容</w:t>
            </w:r>
          </w:p>
        </w:tc>
        <w:tc>
          <w:tcPr>
            <w:tcW w:w="1683"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仿真系统</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分数</w:t>
            </w:r>
          </w:p>
        </w:tc>
      </w:tr>
      <w:tr>
        <w:tblPrEx>
          <w:tblCellMar>
            <w:top w:w="0" w:type="dxa"/>
            <w:left w:w="108" w:type="dxa"/>
            <w:bottom w:w="0" w:type="dxa"/>
            <w:right w:w="108" w:type="dxa"/>
          </w:tblCellMar>
        </w:tblPrEx>
        <w:trPr>
          <w:trHeight w:val="925" w:hRule="atLeast"/>
        </w:trPr>
        <w:tc>
          <w:tcPr>
            <w:tcW w:w="663"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生成会展中心站下行滑动门故障场景。</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2075" w:hRule="atLeast"/>
        </w:trPr>
        <w:tc>
          <w:tcPr>
            <w:tcW w:w="663" w:type="pct"/>
            <w:vMerge w:val="restart"/>
            <w:tcBorders>
              <w:top w:val="nil"/>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通知车站</w:t>
            </w: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仿真系统：“09:31，10905次（0101车），在会展中心站下行车门打开后，全部滑动门未联动打开，司机PSL手动开门无效”</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91" w:hRule="atLeast"/>
        </w:trPr>
        <w:tc>
          <w:tcPr>
            <w:tcW w:w="663"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行调无线电通知10905次司机：“10905次司机做好乘客服务”</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579" w:hRule="atLeast"/>
        </w:trPr>
        <w:tc>
          <w:tcPr>
            <w:tcW w:w="663"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仿真系统：“做好乘客服务，收到”</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074" w:hRule="atLeast"/>
        </w:trPr>
        <w:tc>
          <w:tcPr>
            <w:tcW w:w="663"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行调调度电话通知会展中心站：“下行整侧滑动门未正常打开，司机手动开门无效，车站IBP盘操作开门”</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579" w:hRule="atLeast"/>
        </w:trPr>
        <w:tc>
          <w:tcPr>
            <w:tcW w:w="663"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仿真系统：“行调，IBP盘操作开门无效”</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119" w:hRule="atLeast"/>
        </w:trPr>
        <w:tc>
          <w:tcPr>
            <w:tcW w:w="663"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行调调度电话回复：“会展中心站现采用“隔三开一”的方式打开滑动门进行清客，做好乘客服务”</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579" w:hRule="atLeast"/>
        </w:trPr>
        <w:tc>
          <w:tcPr>
            <w:tcW w:w="663"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5"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579" w:hRule="atLeast"/>
        </w:trPr>
        <w:tc>
          <w:tcPr>
            <w:tcW w:w="663"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邻站扣车</w:t>
            </w: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操作ATS系统终端，对世纪大道下行执行扣车</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1074" w:hRule="atLeast"/>
        </w:trPr>
        <w:tc>
          <w:tcPr>
            <w:tcW w:w="663"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行调调度电话通知世纪大道站：“世纪大道站下行行调扣车，行调101”</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579" w:hRule="atLeast"/>
        </w:trPr>
        <w:tc>
          <w:tcPr>
            <w:tcW w:w="663"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仿真系统：“下行扣车，收到”</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579" w:hRule="atLeast"/>
        </w:trPr>
        <w:tc>
          <w:tcPr>
            <w:tcW w:w="663"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组织库内出车</w:t>
            </w: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操作ATS系统终端，排列S0104-S0108进路</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1089" w:hRule="atLeast"/>
        </w:trPr>
        <w:tc>
          <w:tcPr>
            <w:tcW w:w="663"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行调通知会展中心车辆段调度：“现组织1列电客车至会展中心转换轨II道待令”</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579" w:hRule="atLeast"/>
        </w:trPr>
        <w:tc>
          <w:tcPr>
            <w:tcW w:w="663"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298" w:hRule="atLeast"/>
        </w:trPr>
        <w:tc>
          <w:tcPr>
            <w:tcW w:w="663"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10905次（0101车）设置人工车</w:t>
            </w: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操作ATS系统终端，将10905次（0101车）设置人工车</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579" w:hRule="atLeast"/>
        </w:trPr>
        <w:tc>
          <w:tcPr>
            <w:tcW w:w="663"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信号机交人工控</w:t>
            </w: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操作ATS系统终端，将X0101信号机交人工控</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579" w:hRule="atLeast"/>
        </w:trPr>
        <w:tc>
          <w:tcPr>
            <w:tcW w:w="663"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操作ATS系统终端，将X0202信号机交人工控</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1116" w:hRule="atLeast"/>
        </w:trPr>
        <w:tc>
          <w:tcPr>
            <w:tcW w:w="663"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排列进路</w:t>
            </w: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操作ATS系统终端，依次排列X0101-X0120、X0202-X0101进路</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579" w:hRule="atLeast"/>
        </w:trPr>
        <w:tc>
          <w:tcPr>
            <w:tcW w:w="663"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取消扣车</w:t>
            </w: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操作ATS系统终端，取消世纪大道下行扣车</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1851" w:hRule="atLeast"/>
        </w:trPr>
        <w:tc>
          <w:tcPr>
            <w:tcW w:w="663"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通知后续列车司机</w:t>
            </w: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无线调度台选择16705次（0103车）列车司机：“因会展中心下行滑动门故障，16705次列车取消回库，采用会展中心站前折返，会展中心上行改开10906次，按时刻表正点发车”</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579" w:hRule="atLeast"/>
        </w:trPr>
        <w:tc>
          <w:tcPr>
            <w:tcW w:w="663"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仿真系统：“16705次司机收到”</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854" w:hRule="atLeast"/>
        </w:trPr>
        <w:tc>
          <w:tcPr>
            <w:tcW w:w="663"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通知10905次回场</w:t>
            </w: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仿真系统：“行调，10905次清客完毕”</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093" w:hRule="atLeast"/>
        </w:trPr>
        <w:tc>
          <w:tcPr>
            <w:tcW w:w="663"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无线调度台选择10905次司机：“司机清客完毕凭站务人员“好了”手信号动车至转换轨I道联系场调回库”</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579" w:hRule="atLeast"/>
        </w:trPr>
        <w:tc>
          <w:tcPr>
            <w:tcW w:w="663"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仿真系统：“10905次司机收到”</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698" w:hRule="atLeast"/>
        </w:trPr>
        <w:tc>
          <w:tcPr>
            <w:tcW w:w="663"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告知场调回库变更</w:t>
            </w: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操作ATS系统终端，排列X0112-JC1进路</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854" w:hRule="atLeast"/>
        </w:trPr>
        <w:tc>
          <w:tcPr>
            <w:tcW w:w="663"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行调调度电话通知会展中心车辆段场调：“车辆段是否具备接车条件，原计划回库的16705次取消回库，改为10905次回库”</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5</w:t>
            </w:r>
          </w:p>
        </w:tc>
      </w:tr>
      <w:tr>
        <w:tblPrEx>
          <w:tblCellMar>
            <w:top w:w="0" w:type="dxa"/>
            <w:left w:w="108" w:type="dxa"/>
            <w:bottom w:w="0" w:type="dxa"/>
            <w:right w:w="108" w:type="dxa"/>
          </w:tblCellMar>
        </w:tblPrEx>
        <w:trPr>
          <w:trHeight w:val="579" w:hRule="atLeast"/>
        </w:trPr>
        <w:tc>
          <w:tcPr>
            <w:tcW w:w="663"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仿真系统：“具备接车条件，收到”</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254" w:hRule="atLeast"/>
        </w:trPr>
        <w:tc>
          <w:tcPr>
            <w:tcW w:w="663"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列车替开</w:t>
            </w: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待16705在会展中心上行停稳换端后</w:t>
            </w:r>
            <w:r>
              <w:rPr>
                <w:rFonts w:hint="eastAsia" w:ascii="仿宋" w:hAnsi="仿宋" w:cs="仿宋"/>
                <w:kern w:val="0"/>
                <w:sz w:val="21"/>
                <w:szCs w:val="21"/>
              </w:rPr>
              <w:br w:type="textWrapping"/>
            </w:r>
            <w:r>
              <w:rPr>
                <w:rFonts w:hint="eastAsia" w:ascii="仿宋" w:hAnsi="仿宋" w:cs="仿宋"/>
                <w:kern w:val="0"/>
                <w:sz w:val="21"/>
                <w:szCs w:val="21"/>
              </w:rPr>
              <w:t>行调操作ATS系统终端，将16705车次改为10906次</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判断16705车在会展中心上行站台G16A停稳后换端</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1388" w:hRule="atLeast"/>
        </w:trPr>
        <w:tc>
          <w:tcPr>
            <w:tcW w:w="663"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通知全线各次列车司机</w:t>
            </w: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无线调度台选择全线各次列车司机：“行调呼叫全线各次列车司机，会展中心上行11005次复诵”</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735" w:hRule="atLeast"/>
        </w:trPr>
        <w:tc>
          <w:tcPr>
            <w:tcW w:w="663"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仿真系统：“11005司机收到”</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093" w:hRule="atLeast"/>
        </w:trPr>
        <w:tc>
          <w:tcPr>
            <w:tcW w:w="663"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行调：“因会展中心下行滑动门故障，各次列车司机采用会展中心站前折返，会展中心上行比照时刻表早发1分钟”</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914" w:hRule="atLeast"/>
        </w:trPr>
        <w:tc>
          <w:tcPr>
            <w:tcW w:w="663"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2500" w:hRule="atLeast"/>
        </w:trPr>
        <w:tc>
          <w:tcPr>
            <w:tcW w:w="663"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行车组织</w:t>
            </w: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行调密切关注列车运行</w:t>
            </w:r>
            <w:r>
              <w:rPr>
                <w:rFonts w:hint="eastAsia" w:ascii="仿宋" w:hAnsi="仿宋" w:cs="仿宋"/>
                <w:kern w:val="0"/>
                <w:sz w:val="21"/>
                <w:szCs w:val="21"/>
              </w:rPr>
              <w:br w:type="textWrapping"/>
            </w:r>
            <w:r>
              <w:rPr>
                <w:rFonts w:hint="eastAsia" w:ascii="仿宋" w:hAnsi="仿宋" w:cs="仿宋"/>
                <w:kern w:val="0"/>
                <w:sz w:val="21"/>
                <w:szCs w:val="21"/>
              </w:rPr>
              <w:t>1、行调依次排列X0101-X0120、X0202-X0101进路，组织列车站前折返；</w:t>
            </w:r>
            <w:r>
              <w:rPr>
                <w:rFonts w:hint="eastAsia" w:ascii="仿宋" w:hAnsi="仿宋" w:cs="仿宋"/>
                <w:kern w:val="0"/>
                <w:sz w:val="21"/>
                <w:szCs w:val="21"/>
              </w:rPr>
              <w:br w:type="textWrapping"/>
            </w:r>
            <w:r>
              <w:rPr>
                <w:rFonts w:hint="eastAsia" w:ascii="仿宋" w:hAnsi="仿宋" w:cs="仿宋"/>
                <w:kern w:val="0"/>
                <w:sz w:val="21"/>
                <w:szCs w:val="21"/>
              </w:rPr>
              <w:t>2、如遇回库列车，行调依次排列X0112-JC1、X0120-X0112进路，组织列车回库</w:t>
            </w:r>
            <w:r>
              <w:rPr>
                <w:rFonts w:hint="eastAsia" w:ascii="仿宋" w:hAnsi="仿宋" w:cs="仿宋"/>
                <w:kern w:val="0"/>
                <w:sz w:val="21"/>
                <w:szCs w:val="21"/>
              </w:rPr>
              <w:br w:type="textWrapping"/>
            </w:r>
            <w:r>
              <w:rPr>
                <w:rFonts w:hint="eastAsia" w:ascii="仿宋" w:hAnsi="仿宋" w:cs="仿宋"/>
                <w:kern w:val="0"/>
                <w:sz w:val="21"/>
                <w:szCs w:val="21"/>
              </w:rPr>
              <w:t>3、计划载客列车在会展中心上行站台停稳后，行调更改该列车的目的码为254，服务号不变；</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5"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968" w:hRule="atLeast"/>
        </w:trPr>
        <w:tc>
          <w:tcPr>
            <w:tcW w:w="663"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若未及时操作，出现以下任一情况，扣5分，最多扣5分</w:t>
            </w:r>
            <w:r>
              <w:rPr>
                <w:rFonts w:hint="eastAsia" w:ascii="仿宋" w:hAnsi="仿宋" w:cs="仿宋"/>
                <w:kern w:val="0"/>
                <w:sz w:val="21"/>
                <w:szCs w:val="21"/>
              </w:rPr>
              <w:br w:type="textWrapping"/>
            </w:r>
            <w:r>
              <w:rPr>
                <w:rFonts w:hint="eastAsia" w:ascii="仿宋" w:hAnsi="仿宋" w:cs="仿宋"/>
                <w:kern w:val="0"/>
                <w:sz w:val="21"/>
                <w:szCs w:val="21"/>
              </w:rPr>
              <w:t>1、列车在X0202信号机前停留超过60秒，每列扣5分（16705647次列车除外）；</w:t>
            </w:r>
            <w:r>
              <w:rPr>
                <w:rFonts w:hint="eastAsia" w:ascii="仿宋" w:hAnsi="仿宋" w:cs="仿宋"/>
                <w:kern w:val="0"/>
                <w:sz w:val="21"/>
                <w:szCs w:val="21"/>
              </w:rPr>
              <w:br w:type="textWrapping"/>
            </w:r>
            <w:r>
              <w:rPr>
                <w:rFonts w:hint="eastAsia" w:ascii="仿宋" w:hAnsi="仿宋" w:cs="仿宋"/>
                <w:kern w:val="0"/>
                <w:sz w:val="21"/>
                <w:szCs w:val="21"/>
              </w:rPr>
              <w:t>2、列车在S0107信号机前停留超过1分30秒，每列扣5分。</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5"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5</w:t>
            </w:r>
          </w:p>
        </w:tc>
      </w:tr>
      <w:tr>
        <w:tblPrEx>
          <w:tblCellMar>
            <w:top w:w="0" w:type="dxa"/>
            <w:left w:w="108" w:type="dxa"/>
            <w:bottom w:w="0" w:type="dxa"/>
            <w:right w:w="108" w:type="dxa"/>
          </w:tblCellMar>
        </w:tblPrEx>
        <w:trPr>
          <w:trHeight w:val="1239" w:hRule="atLeast"/>
        </w:trPr>
        <w:tc>
          <w:tcPr>
            <w:tcW w:w="663"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抢修</w:t>
            </w: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仿真系统：“报告行调，维修人员要求对滑动门进行抢修。”</w:t>
            </w:r>
          </w:p>
        </w:tc>
        <w:tc>
          <w:tcPr>
            <w:tcW w:w="325"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836" w:hRule="atLeast"/>
        </w:trPr>
        <w:tc>
          <w:tcPr>
            <w:tcW w:w="663"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指示会展中心站：“可以，提示维修人员做好安全防护”</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5"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579" w:hRule="atLeast"/>
        </w:trPr>
        <w:tc>
          <w:tcPr>
            <w:tcW w:w="663"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5"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419" w:hRule="atLeast"/>
        </w:trPr>
        <w:tc>
          <w:tcPr>
            <w:tcW w:w="663"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故障恢复</w:t>
            </w: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仿真系统：“经抢修，下行滑动门故障已经恢复。”</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575" w:hRule="atLeast"/>
        </w:trPr>
        <w:tc>
          <w:tcPr>
            <w:tcW w:w="663"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行调：“下行滑动门故障已经恢复，行调收到”</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570" w:hRule="atLeast"/>
        </w:trPr>
        <w:tc>
          <w:tcPr>
            <w:tcW w:w="663"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通知全线司机恢复正常行车</w:t>
            </w: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无线调度台选择全线各次列车司机由11205次司机复诵：“因会展中心下行滑动门故障已恢复，取消会展中心站前折返，各次列车司机恢复正常交路运行”</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6</w:t>
            </w:r>
          </w:p>
        </w:tc>
      </w:tr>
      <w:tr>
        <w:tblPrEx>
          <w:tblCellMar>
            <w:top w:w="0" w:type="dxa"/>
            <w:left w:w="108" w:type="dxa"/>
            <w:bottom w:w="0" w:type="dxa"/>
            <w:right w:w="108" w:type="dxa"/>
          </w:tblCellMar>
        </w:tblPrEx>
        <w:trPr>
          <w:trHeight w:val="579" w:hRule="atLeast"/>
        </w:trPr>
        <w:tc>
          <w:tcPr>
            <w:tcW w:w="663"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11" w:hRule="atLeast"/>
        </w:trPr>
        <w:tc>
          <w:tcPr>
            <w:tcW w:w="663"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通知会展中心站恢复正常行车</w:t>
            </w: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有线调度台选择会展中心站：“全线各次列车司机恢复正常交路运行”</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6</w:t>
            </w:r>
          </w:p>
        </w:tc>
      </w:tr>
      <w:tr>
        <w:tblPrEx>
          <w:tblCellMar>
            <w:top w:w="0" w:type="dxa"/>
            <w:left w:w="108" w:type="dxa"/>
            <w:bottom w:w="0" w:type="dxa"/>
            <w:right w:w="108" w:type="dxa"/>
          </w:tblCellMar>
        </w:tblPrEx>
        <w:trPr>
          <w:trHeight w:val="579" w:hRule="atLeast"/>
        </w:trPr>
        <w:tc>
          <w:tcPr>
            <w:tcW w:w="663"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579" w:hRule="atLeast"/>
        </w:trPr>
        <w:tc>
          <w:tcPr>
            <w:tcW w:w="663"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信号机交自动控</w:t>
            </w: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操作ATS系统终端，将X0101信号机交自动控</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579" w:hRule="atLeast"/>
        </w:trPr>
        <w:tc>
          <w:tcPr>
            <w:tcW w:w="663"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328"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操作ATS系统终端，将X0202信号机交自动控</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5"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746" w:hRule="atLeast"/>
        </w:trPr>
        <w:tc>
          <w:tcPr>
            <w:tcW w:w="2991" w:type="pct"/>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168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仿真系统：“滑动门故障应急处理结束”</w:t>
            </w:r>
          </w:p>
        </w:tc>
        <w:tc>
          <w:tcPr>
            <w:tcW w:w="325"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579" w:hRule="atLeast"/>
        </w:trPr>
        <w:tc>
          <w:tcPr>
            <w:tcW w:w="4674" w:type="pct"/>
            <w:gridSpan w:val="3"/>
            <w:tcBorders>
              <w:top w:val="nil"/>
              <w:left w:val="single" w:color="auto" w:sz="4" w:space="0"/>
              <w:bottom w:val="single" w:color="auto" w:sz="4" w:space="0"/>
              <w:right w:val="single" w:color="auto" w:sz="4" w:space="0"/>
            </w:tcBorders>
            <w:shd w:val="clear" w:color="auto" w:fill="auto"/>
            <w:noWrap/>
            <w:vAlign w:val="bottom"/>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5" w:type="pct"/>
            <w:tcBorders>
              <w:top w:val="nil"/>
              <w:left w:val="nil"/>
              <w:bottom w:val="single" w:color="auto" w:sz="4" w:space="0"/>
              <w:right w:val="single" w:color="auto" w:sz="4" w:space="0"/>
            </w:tcBorders>
            <w:shd w:val="clear" w:color="auto" w:fill="auto"/>
            <w:noWrap/>
            <w:vAlign w:val="bottom"/>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100</w:t>
            </w:r>
          </w:p>
        </w:tc>
      </w:tr>
    </w:tbl>
    <w:p>
      <w:pPr>
        <w:pStyle w:val="2"/>
        <w:spacing w:after="0" w:line="590" w:lineRule="exact"/>
        <w:ind w:left="0" w:leftChars="0" w:right="0" w:rightChars="0" w:firstLine="640"/>
        <w:rPr>
          <w:rFonts w:ascii="Times New Roman" w:hAnsi="Times New Roman" w:eastAsia="方正仿宋_GBK" w:cs="Times New Roman"/>
          <w:szCs w:val="32"/>
        </w:rPr>
      </w:pPr>
    </w:p>
    <w:p>
      <w:pPr>
        <w:pStyle w:val="7"/>
        <w:numPr>
          <w:ilvl w:val="0"/>
          <w:numId w:val="0"/>
        </w:numPr>
        <w:spacing w:line="590" w:lineRule="exact"/>
        <w:ind w:firstLine="643" w:firstLineChars="200"/>
        <w:jc w:val="both"/>
        <w:rPr>
          <w:rFonts w:ascii="Times New Roman" w:hAnsi="Times New Roman" w:eastAsia="方正仿宋_GBK" w:cs="Times New Roman"/>
          <w:color w:val="000000" w:themeColor="text1"/>
          <w:szCs w:val="32"/>
          <w14:textFill>
            <w14:solidFill>
              <w14:schemeClr w14:val="tx1"/>
            </w14:solidFill>
          </w14:textFill>
        </w:rPr>
      </w:pPr>
      <w:r>
        <w:rPr>
          <w:rFonts w:ascii="Times New Roman" w:hAnsi="Times New Roman" w:eastAsia="方正仿宋_GBK" w:cs="Times New Roman"/>
          <w:color w:val="000000" w:themeColor="text1"/>
          <w:szCs w:val="32"/>
          <w14:textFill>
            <w14:solidFill>
              <w14:schemeClr w14:val="tx1"/>
            </w14:solidFill>
          </w14:textFill>
        </w:rPr>
        <w:t>内容三：车站突发大客流应急处置</w:t>
      </w:r>
    </w:p>
    <w:p>
      <w:pPr>
        <w:widowControl/>
        <w:spacing w:line="590" w:lineRule="exact"/>
        <w:ind w:firstLine="643"/>
        <w:rPr>
          <w:rFonts w:ascii="Times New Roman" w:hAnsi="Times New Roman" w:eastAsia="方正仿宋_GBK" w:cs="Times New Roman"/>
          <w:szCs w:val="32"/>
        </w:rPr>
      </w:pPr>
      <w:r>
        <w:rPr>
          <w:rFonts w:ascii="Times New Roman" w:hAnsi="Times New Roman" w:eastAsia="方正仿宋_GBK" w:cs="Times New Roman"/>
          <w:b/>
          <w:szCs w:val="32"/>
        </w:rPr>
        <w:t>场景</w:t>
      </w:r>
      <w:r>
        <w:rPr>
          <w:b/>
          <w:bCs/>
        </w:rPr>
        <w:t>描述</w:t>
      </w:r>
      <w:r>
        <w:rPr>
          <w:rFonts w:ascii="Times New Roman" w:hAnsi="Times New Roman" w:eastAsia="方正仿宋_GBK" w:cs="Times New Roman"/>
          <w:b/>
          <w:szCs w:val="32"/>
        </w:rPr>
        <w:t>：</w:t>
      </w:r>
      <w:r>
        <w:rPr>
          <w:rFonts w:ascii="Times New Roman" w:hAnsi="Times New Roman" w:eastAsia="方正仿宋_GBK" w:cs="Times New Roman"/>
          <w:szCs w:val="32"/>
        </w:rPr>
        <w:t>XX时XX分，XX站突发大客流，行调立即执行大客流应急处置预案，与车站加强联系，进行行车组织调整输运滞留乘客，待车站客流趋于平缓后组织恢复正常运营。</w:t>
      </w:r>
    </w:p>
    <w:p>
      <w:pPr>
        <w:spacing w:line="590" w:lineRule="exact"/>
        <w:ind w:firstLine="643"/>
        <w:rPr>
          <w:rFonts w:ascii="Times New Roman" w:hAnsi="Times New Roman" w:eastAsia="方正仿宋_GBK" w:cs="Times New Roman"/>
          <w:szCs w:val="32"/>
        </w:rPr>
      </w:pPr>
      <w:r>
        <w:rPr>
          <w:rFonts w:ascii="Times New Roman" w:hAnsi="Times New Roman" w:eastAsia="方正仿宋_GBK" w:cs="Times New Roman"/>
          <w:b/>
          <w:szCs w:val="28"/>
        </w:rPr>
        <w:t>处置流程</w:t>
      </w:r>
      <w:r>
        <w:rPr>
          <w:rFonts w:hint="eastAsia" w:ascii="Times New Roman" w:hAnsi="Times New Roman" w:eastAsia="方正仿宋_GBK" w:cs="Times New Roman"/>
          <w:b/>
          <w:szCs w:val="28"/>
        </w:rPr>
        <w:t>：</w:t>
      </w:r>
      <w:r>
        <w:rPr>
          <w:rFonts w:ascii="Times New Roman" w:hAnsi="Times New Roman" w:eastAsia="方正仿宋_GBK" w:cs="Times New Roman"/>
          <w:szCs w:val="32"/>
        </w:rPr>
        <w:t>XX车站突发大客流，启动一级客流控制，行调组织各列车在该站多停，缓解车站客流压力，客流持续增加，站台乘客大量滞留，行调组织列车在该站跳停，组织备用车上线，输运车站乘客。</w:t>
      </w:r>
    </w:p>
    <w:p>
      <w:pPr>
        <w:spacing w:line="590" w:lineRule="exact"/>
        <w:ind w:firstLine="643"/>
        <w:rPr>
          <w:rFonts w:ascii="Times New Roman" w:hAnsi="Times New Roman" w:eastAsia="方正仿宋_GBK" w:cs="Times New Roman"/>
          <w:szCs w:val="32"/>
        </w:rPr>
      </w:pPr>
      <w:r>
        <w:rPr>
          <w:rFonts w:ascii="Times New Roman" w:hAnsi="Times New Roman" w:eastAsia="方正仿宋_GBK" w:cs="Times New Roman"/>
          <w:b/>
          <w:szCs w:val="28"/>
        </w:rPr>
        <w:t>完成操作：</w:t>
      </w:r>
      <w:r>
        <w:rPr>
          <w:rFonts w:ascii="Times New Roman" w:hAnsi="Times New Roman" w:eastAsia="方正仿宋_GBK" w:cs="Times New Roman"/>
          <w:szCs w:val="32"/>
        </w:rPr>
        <w:t>调度员按照标准处理流程进行车站大客流障应急处置，并合理进行行车组织，未完成或执行错误的步骤不得分。</w:t>
      </w:r>
    </w:p>
    <w:tbl>
      <w:tblPr>
        <w:tblStyle w:val="31"/>
        <w:tblW w:w="5000" w:type="pct"/>
        <w:tblInd w:w="0" w:type="dxa"/>
        <w:tblLayout w:type="autofit"/>
        <w:tblCellMar>
          <w:top w:w="0" w:type="dxa"/>
          <w:left w:w="108" w:type="dxa"/>
          <w:bottom w:w="0" w:type="dxa"/>
          <w:right w:w="108" w:type="dxa"/>
        </w:tblCellMar>
      </w:tblPr>
      <w:tblGrid>
        <w:gridCol w:w="1056"/>
        <w:gridCol w:w="4423"/>
        <w:gridCol w:w="2946"/>
        <w:gridCol w:w="636"/>
      </w:tblGrid>
      <w:tr>
        <w:tblPrEx>
          <w:tblCellMar>
            <w:top w:w="0" w:type="dxa"/>
            <w:left w:w="108" w:type="dxa"/>
            <w:bottom w:w="0" w:type="dxa"/>
            <w:right w:w="108" w:type="dxa"/>
          </w:tblCellMar>
        </w:tblPrEx>
        <w:trPr>
          <w:trHeight w:val="319" w:hRule="atLeast"/>
        </w:trPr>
        <w:tc>
          <w:tcPr>
            <w:tcW w:w="5000" w:type="pct"/>
            <w:gridSpan w:val="4"/>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大学路站突发性大客流场景</w:t>
            </w:r>
          </w:p>
        </w:tc>
      </w:tr>
      <w:tr>
        <w:tblPrEx>
          <w:tblCellMar>
            <w:top w:w="0" w:type="dxa"/>
            <w:left w:w="108" w:type="dxa"/>
            <w:bottom w:w="0" w:type="dxa"/>
            <w:right w:w="108" w:type="dxa"/>
          </w:tblCellMar>
        </w:tblPrEx>
        <w:trPr>
          <w:trHeight w:val="489" w:hRule="atLeast"/>
        </w:trPr>
        <w:tc>
          <w:tcPr>
            <w:tcW w:w="397" w:type="pc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作业程序</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作业内容</w:t>
            </w:r>
          </w:p>
        </w:tc>
        <w:tc>
          <w:tcPr>
            <w:tcW w:w="1696"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仿真系统</w:t>
            </w:r>
          </w:p>
        </w:tc>
        <w:tc>
          <w:tcPr>
            <w:tcW w:w="394" w:type="pct"/>
            <w:tcBorders>
              <w:top w:val="single" w:color="auto" w:sz="4" w:space="0"/>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分数</w:t>
            </w:r>
          </w:p>
        </w:tc>
      </w:tr>
      <w:tr>
        <w:tblPrEx>
          <w:tblCellMar>
            <w:top w:w="0" w:type="dxa"/>
            <w:left w:w="108" w:type="dxa"/>
            <w:bottom w:w="0" w:type="dxa"/>
            <w:right w:w="108" w:type="dxa"/>
          </w:tblCellMar>
        </w:tblPrEx>
        <w:trPr>
          <w:trHeight w:val="1485" w:hRule="atLeast"/>
        </w:trPr>
        <w:tc>
          <w:tcPr>
            <w:tcW w:w="397" w:type="pct"/>
            <w:vMerge w:val="restart"/>
            <w:tcBorders>
              <w:top w:val="nil"/>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事件报告</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仿真系统：“13:30，大学路站站台排队乘客滞留到达站台楼梯/扶梯口处，排队人数持续增加，导致上下站台较拥挤”</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140"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调度电话回复大学路站：“将客流持续增加原因以及预计可持续时间报行调，并做好乘客服务”</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144"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仿真系统：“原因为多列高铁晚点，时间无法确认。”</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825" w:hRule="atLeast"/>
        </w:trPr>
        <w:tc>
          <w:tcPr>
            <w:tcW w:w="397"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行调通过CCTV监控系统确定大学路站站台客流情况</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802" w:hRule="atLeast"/>
        </w:trPr>
        <w:tc>
          <w:tcPr>
            <w:tcW w:w="397"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通知司机多停</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无线调度台选择大学路站下行进站的11409次：“11409次大学路站下行多停30秒”</w:t>
            </w:r>
          </w:p>
        </w:tc>
        <w:tc>
          <w:tcPr>
            <w:tcW w:w="1696"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660"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96"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25"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无线调度台选择人民公园上行进站的10310次：“10310次稍后大学路站上行多停30秒”</w:t>
            </w:r>
          </w:p>
        </w:tc>
        <w:tc>
          <w:tcPr>
            <w:tcW w:w="1696"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679"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16" w:hRule="atLeast"/>
        </w:trPr>
        <w:tc>
          <w:tcPr>
            <w:tcW w:w="397"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通知车站多停</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有线调度台选择大学路站：“稍后上下行各一列车在你站多停30秒，车站做好乘客服务”</w:t>
            </w:r>
          </w:p>
        </w:tc>
        <w:tc>
          <w:tcPr>
            <w:tcW w:w="1696"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720"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20" w:hRule="atLeast"/>
        </w:trPr>
        <w:tc>
          <w:tcPr>
            <w:tcW w:w="397"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事件续报</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仿真系统：“行调，大学路站客流再次增加，站台及站厅较拥挤，站台及站厅客流积压严重，主要为下行方向”</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619" w:hRule="atLeast"/>
        </w:trPr>
        <w:tc>
          <w:tcPr>
            <w:tcW w:w="397"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行调：“收到，做好乘客服务及引导”</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779" w:hRule="atLeast"/>
        </w:trPr>
        <w:tc>
          <w:tcPr>
            <w:tcW w:w="397"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通知备用车司机准备上线</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无线调度台选择火车东站折返线I道0101备用车司机：“0101车司机做好上线准备”</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846"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仿真系统：“做好上线准备，收到”</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032" w:hRule="atLeast"/>
        </w:trPr>
        <w:tc>
          <w:tcPr>
            <w:tcW w:w="397"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行调调度电话通知火车东站下行11711次司机：“11711次司机比照时刻表早发2分钟，行调101”</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555" w:hRule="atLeast"/>
        </w:trPr>
        <w:tc>
          <w:tcPr>
            <w:tcW w:w="397"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仿真系统：“早发2分钟，收到”</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825" w:hRule="atLeast"/>
        </w:trPr>
        <w:tc>
          <w:tcPr>
            <w:tcW w:w="397"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操作ATS系统终端，排列X2301-X2303进路</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799" w:hRule="atLeast"/>
        </w:trPr>
        <w:tc>
          <w:tcPr>
            <w:tcW w:w="397"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调度电话通知火车东车辆段场调：“场调，组织1列电客车至火车东转换轨II道待令”</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399" w:hRule="atLeast"/>
        </w:trPr>
        <w:tc>
          <w:tcPr>
            <w:tcW w:w="397"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56" w:hRule="atLeast"/>
        </w:trPr>
        <w:tc>
          <w:tcPr>
            <w:tcW w:w="397"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操作ATS系统终端，排列S0104-S0108进路</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286" w:hRule="atLeast"/>
        </w:trPr>
        <w:tc>
          <w:tcPr>
            <w:tcW w:w="397"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调度电话通知会展中心车辆段场调：“场调，组织1列电客车至会展中心转换轨II道待令”</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582" w:hRule="atLeast"/>
        </w:trPr>
        <w:tc>
          <w:tcPr>
            <w:tcW w:w="397"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678" w:hRule="atLeast"/>
        </w:trPr>
        <w:tc>
          <w:tcPr>
            <w:tcW w:w="397" w:type="pct"/>
            <w:vMerge w:val="restart"/>
            <w:tcBorders>
              <w:top w:val="nil"/>
              <w:left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11711次运行至火车东站下行后</w:t>
            </w:r>
          </w:p>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p>
            <w:pPr>
              <w:spacing w:line="240" w:lineRule="auto"/>
              <w:ind w:firstLine="420"/>
              <w:jc w:val="center"/>
              <w:rPr>
                <w:rFonts w:ascii="仿宋" w:hAnsi="仿宋" w:cs="仿宋"/>
                <w:kern w:val="0"/>
                <w:sz w:val="21"/>
                <w:szCs w:val="21"/>
              </w:rPr>
            </w:pPr>
            <w:r>
              <w:rPr>
                <w:rFonts w:hint="eastAsia" w:ascii="仿宋" w:hAnsi="仿宋" w:cs="仿宋"/>
                <w:kern w:val="0"/>
                <w:sz w:val="21"/>
                <w:szCs w:val="21"/>
              </w:rPr>
              <w:t>　</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行调ATS系统终端操作，将火车东站折返线I道备用车车次改为97101014次</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599" w:hRule="atLeast"/>
        </w:trPr>
        <w:tc>
          <w:tcPr>
            <w:tcW w:w="397" w:type="pct"/>
            <w:vMerge w:val="continue"/>
            <w:tcBorders>
              <w:left w:val="single" w:color="auto" w:sz="4" w:space="0"/>
              <w:right w:val="single" w:color="auto" w:sz="4" w:space="0"/>
            </w:tcBorders>
            <w:shd w:val="clear" w:color="auto" w:fill="auto"/>
            <w:vAlign w:val="center"/>
          </w:tcPr>
          <w:p>
            <w:pPr>
              <w:spacing w:line="240" w:lineRule="auto"/>
              <w:ind w:firstLine="420"/>
              <w:jc w:val="center"/>
              <w:rPr>
                <w:rFonts w:ascii="仿宋" w:hAnsi="仿宋" w:cs="仿宋"/>
                <w:kern w:val="0"/>
                <w:sz w:val="21"/>
                <w:szCs w:val="21"/>
              </w:rPr>
            </w:pP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行调ATS系统终端操作，排列X2513-X2508进路</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1406" w:hRule="atLeast"/>
        </w:trPr>
        <w:tc>
          <w:tcPr>
            <w:tcW w:w="397" w:type="pct"/>
            <w:vMerge w:val="continue"/>
            <w:tcBorders>
              <w:left w:val="single" w:color="auto" w:sz="4" w:space="0"/>
              <w:right w:val="single" w:color="auto" w:sz="4" w:space="0"/>
            </w:tcBorders>
            <w:shd w:val="clear" w:color="auto" w:fill="auto"/>
            <w:vAlign w:val="center"/>
          </w:tcPr>
          <w:p>
            <w:pPr>
              <w:spacing w:line="240" w:lineRule="auto"/>
              <w:ind w:firstLine="420"/>
              <w:jc w:val="center"/>
              <w:rPr>
                <w:rFonts w:ascii="仿宋" w:hAnsi="仿宋" w:cs="仿宋"/>
                <w:kern w:val="0"/>
                <w:sz w:val="21"/>
                <w:szCs w:val="21"/>
              </w:rPr>
            </w:pP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行调无线电通知97101次：“因大学路站突发大客流，准火车东站折返线I道至火车东站下行至大学路站下行加开97101次，沿途不停站通过，运行至大学路站下行投入载客服务，行调101”</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739" w:hRule="atLeast"/>
        </w:trPr>
        <w:tc>
          <w:tcPr>
            <w:tcW w:w="397" w:type="pct"/>
            <w:vMerge w:val="continue"/>
            <w:tcBorders>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606" w:hRule="atLeast"/>
        </w:trPr>
        <w:tc>
          <w:tcPr>
            <w:tcW w:w="397" w:type="pct"/>
            <w:vMerge w:val="restart"/>
            <w:tcBorders>
              <w:top w:val="nil"/>
              <w:left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事件续报</w:t>
            </w:r>
          </w:p>
          <w:p>
            <w:pPr>
              <w:spacing w:line="240" w:lineRule="auto"/>
              <w:ind w:firstLine="420"/>
              <w:jc w:val="center"/>
              <w:rPr>
                <w:rFonts w:ascii="仿宋" w:hAnsi="仿宋" w:cs="仿宋"/>
                <w:kern w:val="0"/>
                <w:sz w:val="21"/>
                <w:szCs w:val="21"/>
              </w:rPr>
            </w:pPr>
            <w:r>
              <w:rPr>
                <w:rFonts w:hint="eastAsia" w:ascii="仿宋" w:hAnsi="仿宋" w:cs="仿宋"/>
                <w:kern w:val="0"/>
                <w:sz w:val="21"/>
                <w:szCs w:val="21"/>
              </w:rPr>
              <w:t>　</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仿真系统：“大学路站站台、站厅出现乘客拥挤现象，下行暂不具备接车条件上行具备，出入口出现乘客拥挤现象，已执行一级客流控制，预计持续15分钟”</w:t>
            </w:r>
          </w:p>
        </w:tc>
        <w:tc>
          <w:tcPr>
            <w:tcW w:w="39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strike/>
                <w:kern w:val="0"/>
                <w:sz w:val="21"/>
                <w:szCs w:val="21"/>
              </w:rPr>
              <w:t>　</w:t>
            </w:r>
          </w:p>
        </w:tc>
      </w:tr>
      <w:tr>
        <w:tblPrEx>
          <w:tblCellMar>
            <w:top w:w="0" w:type="dxa"/>
            <w:left w:w="108" w:type="dxa"/>
            <w:bottom w:w="0" w:type="dxa"/>
            <w:right w:w="108" w:type="dxa"/>
          </w:tblCellMar>
        </w:tblPrEx>
        <w:trPr>
          <w:trHeight w:val="720" w:hRule="atLeast"/>
        </w:trPr>
        <w:tc>
          <w:tcPr>
            <w:tcW w:w="397" w:type="pct"/>
            <w:vMerge w:val="continue"/>
            <w:tcBorders>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行调：“收到，做好乘客服务及引导”</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739" w:hRule="atLeast"/>
        </w:trPr>
        <w:tc>
          <w:tcPr>
            <w:tcW w:w="397"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设置跳停</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操作ATS系统终端，将大学路站下行设置跳停</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643" w:hRule="atLeast"/>
        </w:trPr>
        <w:tc>
          <w:tcPr>
            <w:tcW w:w="397" w:type="pct"/>
            <w:vMerge w:val="restart"/>
            <w:tcBorders>
              <w:top w:val="nil"/>
              <w:left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通知车站</w:t>
            </w:r>
          </w:p>
          <w:p>
            <w:pPr>
              <w:spacing w:line="240" w:lineRule="auto"/>
              <w:ind w:firstLine="420"/>
              <w:jc w:val="center"/>
              <w:rPr>
                <w:rFonts w:ascii="仿宋" w:hAnsi="仿宋" w:cs="仿宋"/>
                <w:kern w:val="0"/>
                <w:sz w:val="21"/>
                <w:szCs w:val="21"/>
              </w:rPr>
            </w:pPr>
            <w:r>
              <w:rPr>
                <w:rFonts w:hint="eastAsia" w:ascii="仿宋" w:hAnsi="仿宋" w:cs="仿宋"/>
                <w:kern w:val="0"/>
                <w:sz w:val="21"/>
                <w:szCs w:val="21"/>
              </w:rPr>
              <w:t>　</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有线调度台呼叫大学路站：“全线各次列车在大学路站下行越站，做好乘客服务”</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619" w:hRule="atLeast"/>
        </w:trPr>
        <w:tc>
          <w:tcPr>
            <w:tcW w:w="397" w:type="pct"/>
            <w:vMerge w:val="continue"/>
            <w:tcBorders>
              <w:left w:val="single" w:color="auto" w:sz="4" w:space="0"/>
              <w:right w:val="single" w:color="auto" w:sz="4" w:space="0"/>
            </w:tcBorders>
            <w:vAlign w:val="center"/>
          </w:tcPr>
          <w:p>
            <w:pPr>
              <w:spacing w:line="240" w:lineRule="auto"/>
              <w:ind w:firstLine="420"/>
              <w:jc w:val="center"/>
              <w:rPr>
                <w:rFonts w:ascii="仿宋" w:hAnsi="仿宋" w:cs="仿宋"/>
                <w:kern w:val="0"/>
                <w:sz w:val="21"/>
                <w:szCs w:val="21"/>
              </w:rPr>
            </w:pP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74" w:hRule="atLeast"/>
        </w:trPr>
        <w:tc>
          <w:tcPr>
            <w:tcW w:w="397" w:type="pct"/>
            <w:vMerge w:val="continue"/>
            <w:tcBorders>
              <w:left w:val="single" w:color="auto" w:sz="4" w:space="0"/>
              <w:right w:val="single" w:color="auto" w:sz="4" w:space="0"/>
            </w:tcBorders>
            <w:vAlign w:val="center"/>
          </w:tcPr>
          <w:p>
            <w:pPr>
              <w:spacing w:line="240" w:lineRule="auto"/>
              <w:ind w:firstLine="420"/>
              <w:jc w:val="center"/>
              <w:rPr>
                <w:rFonts w:ascii="仿宋" w:hAnsi="仿宋" w:cs="仿宋"/>
                <w:kern w:val="0"/>
                <w:sz w:val="21"/>
                <w:szCs w:val="21"/>
              </w:rPr>
            </w:pP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无线电通知全线各次列车司机：“行调呼叫全线各次列车司机，请11409次司机复诵”</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仿真系统：“11409次司机收到”</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984" w:hRule="atLeast"/>
        </w:trPr>
        <w:tc>
          <w:tcPr>
            <w:tcW w:w="397" w:type="pct"/>
            <w:vMerge w:val="continue"/>
            <w:tcBorders>
              <w:left w:val="single" w:color="auto" w:sz="4" w:space="0"/>
              <w:right w:val="single" w:color="auto" w:sz="4" w:space="0"/>
            </w:tcBorders>
            <w:vAlign w:val="center"/>
          </w:tcPr>
          <w:p>
            <w:pPr>
              <w:spacing w:line="240" w:lineRule="auto"/>
              <w:ind w:firstLine="420"/>
              <w:jc w:val="center"/>
              <w:rPr>
                <w:rFonts w:ascii="仿宋" w:hAnsi="仿宋" w:cs="仿宋"/>
                <w:kern w:val="0"/>
                <w:sz w:val="21"/>
                <w:szCs w:val="21"/>
              </w:rPr>
            </w:pP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无线电通知全线各次列车司机：“因大学路站突发大客流，全线各次列车在大学路站下行越站，做好乘客服务，行调101”</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660" w:hRule="atLeast"/>
        </w:trPr>
        <w:tc>
          <w:tcPr>
            <w:tcW w:w="397" w:type="pct"/>
            <w:vMerge w:val="continue"/>
            <w:tcBorders>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448" w:hRule="atLeast"/>
        </w:trPr>
        <w:tc>
          <w:tcPr>
            <w:tcW w:w="397" w:type="pct"/>
            <w:vMerge w:val="restart"/>
            <w:tcBorders>
              <w:top w:val="nil"/>
              <w:left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待11711次开出后</w:t>
            </w:r>
          </w:p>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p>
            <w:pPr>
              <w:spacing w:line="240" w:lineRule="auto"/>
              <w:ind w:firstLine="420"/>
              <w:jc w:val="center"/>
              <w:rPr>
                <w:rFonts w:ascii="仿宋" w:hAnsi="仿宋" w:cs="仿宋"/>
                <w:kern w:val="0"/>
                <w:sz w:val="21"/>
                <w:szCs w:val="21"/>
              </w:rPr>
            </w:pPr>
            <w:r>
              <w:rPr>
                <w:rFonts w:hint="eastAsia" w:ascii="仿宋" w:hAnsi="仿宋" w:cs="仿宋"/>
                <w:kern w:val="0"/>
                <w:sz w:val="21"/>
                <w:szCs w:val="21"/>
              </w:rPr>
              <w:t>　</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行调无线电呼叫火车东站折返线I道97101次：“97101次，变更前发加开命令，准火车东站折返线I道至火车东站下行至人民公园站下行至人民公园站存车线I道加开97101次，沿途不停站通过”</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1016" w:hRule="atLeast"/>
        </w:trPr>
        <w:tc>
          <w:tcPr>
            <w:tcW w:w="397" w:type="pct"/>
            <w:vMerge w:val="continue"/>
            <w:tcBorders>
              <w:left w:val="single" w:color="auto" w:sz="4" w:space="0"/>
              <w:right w:val="single" w:color="auto" w:sz="4" w:space="0"/>
            </w:tcBorders>
            <w:shd w:val="clear" w:color="auto" w:fill="auto"/>
            <w:vAlign w:val="center"/>
          </w:tcPr>
          <w:p>
            <w:pPr>
              <w:spacing w:line="240" w:lineRule="auto"/>
              <w:ind w:firstLine="420"/>
              <w:jc w:val="center"/>
              <w:rPr>
                <w:rFonts w:ascii="仿宋" w:hAnsi="仿宋" w:cs="仿宋"/>
                <w:kern w:val="0"/>
                <w:sz w:val="21"/>
                <w:szCs w:val="21"/>
              </w:rPr>
            </w:pP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行调无线电呼叫火车东站折返线I道97101次：“现凭推荐速度动车，限速35运行，行调101”</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619" w:hRule="atLeast"/>
        </w:trPr>
        <w:tc>
          <w:tcPr>
            <w:tcW w:w="397" w:type="pct"/>
            <w:vMerge w:val="continue"/>
            <w:tcBorders>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仿真系统：“变更加开命令，收到”</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840" w:hRule="atLeast"/>
        </w:trPr>
        <w:tc>
          <w:tcPr>
            <w:tcW w:w="397"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行调ATS系统终端操作，将97101014改为97101163</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2127" w:hRule="atLeast"/>
        </w:trPr>
        <w:tc>
          <w:tcPr>
            <w:tcW w:w="397"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迎宾路站至火车东站各站：“请迎宾路站复诵，因大学路站突发大客流，准火车东站折返线I道至火车东站下行至人民公园站下行至人民公园站存车线I道加开97101次，沿途不停站通过，各站加强监控，做好报点，行调101”</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660" w:hRule="atLeast"/>
        </w:trPr>
        <w:tc>
          <w:tcPr>
            <w:tcW w:w="397"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39" w:hRule="atLeast"/>
        </w:trPr>
        <w:tc>
          <w:tcPr>
            <w:tcW w:w="397"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仿真系统：“行调，大学路站客流目前未能得到缓解，站台、站厅和出入口严重拥堵，请求关站”</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619" w:hRule="atLeast"/>
        </w:trPr>
        <w:tc>
          <w:tcPr>
            <w:tcW w:w="397"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行调：“行调同意大学路站关站，做好乘客服务”</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799" w:hRule="atLeast"/>
        </w:trPr>
        <w:tc>
          <w:tcPr>
            <w:tcW w:w="397"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行调操作ATS系统终端，将大学路站上行设置跳停</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859" w:hRule="atLeast"/>
        </w:trPr>
        <w:tc>
          <w:tcPr>
            <w:tcW w:w="397"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事件续报</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有线调度台呼叫大学路站：“全线各次列车在大学路站上下行越站，做好乘客服务”</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619"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80"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无线电通知全线各次列车司机：“行调呼叫全线各次列车司机，请11409次司机复诵”</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仿真系统：“11409次司机收到”</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1150"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无线电通知全线各次列车司机：“因大学路站突发大客流，全线各次列车在大学路站上下行越站，做好乘客服务，行调101”</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398"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39" w:hRule="atLeast"/>
        </w:trPr>
        <w:tc>
          <w:tcPr>
            <w:tcW w:w="397"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仿真系统：“行调，大学路站客流已疏散完毕，目前具备开站条件，请求开站”</w:t>
            </w:r>
          </w:p>
        </w:tc>
        <w:tc>
          <w:tcPr>
            <w:tcW w:w="39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57" w:hRule="atLeast"/>
        </w:trPr>
        <w:tc>
          <w:tcPr>
            <w:tcW w:w="397" w:type="pct"/>
            <w:vMerge w:val="restart"/>
            <w:tcBorders>
              <w:top w:val="nil"/>
              <w:left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终止预案及响应命令</w:t>
            </w:r>
          </w:p>
          <w:p>
            <w:pPr>
              <w:spacing w:line="240" w:lineRule="auto"/>
              <w:ind w:firstLine="420"/>
              <w:jc w:val="center"/>
              <w:rPr>
                <w:rFonts w:ascii="仿宋" w:hAnsi="仿宋" w:cs="仿宋"/>
                <w:kern w:val="0"/>
                <w:sz w:val="21"/>
                <w:szCs w:val="21"/>
              </w:rPr>
            </w:pPr>
            <w:r>
              <w:rPr>
                <w:rFonts w:hint="eastAsia" w:ascii="仿宋" w:hAnsi="仿宋" w:cs="仿宋"/>
                <w:kern w:val="0"/>
                <w:sz w:val="21"/>
                <w:szCs w:val="21"/>
              </w:rPr>
              <w:t>　</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行调调度电话询问大学路站：“大学路站上下行是否具备乘客乘降条件”</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542" w:hRule="atLeast"/>
        </w:trPr>
        <w:tc>
          <w:tcPr>
            <w:tcW w:w="397" w:type="pct"/>
            <w:vMerge w:val="continue"/>
            <w:tcBorders>
              <w:left w:val="single" w:color="auto" w:sz="4" w:space="0"/>
              <w:right w:val="single" w:color="auto" w:sz="4" w:space="0"/>
            </w:tcBorders>
            <w:vAlign w:val="center"/>
          </w:tcPr>
          <w:p>
            <w:pPr>
              <w:spacing w:line="240" w:lineRule="auto"/>
              <w:ind w:firstLine="420"/>
              <w:jc w:val="center"/>
              <w:rPr>
                <w:rFonts w:ascii="仿宋" w:hAnsi="仿宋" w:cs="仿宋"/>
                <w:kern w:val="0"/>
                <w:sz w:val="21"/>
                <w:szCs w:val="21"/>
              </w:rPr>
            </w:pP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仿真系统：“具备乘降条件”</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563" w:hRule="atLeast"/>
        </w:trPr>
        <w:tc>
          <w:tcPr>
            <w:tcW w:w="397" w:type="pct"/>
            <w:vMerge w:val="continue"/>
            <w:tcBorders>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行调：“行调同意大学路站开站，做好乘客服务”</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795" w:hRule="atLeast"/>
        </w:trPr>
        <w:tc>
          <w:tcPr>
            <w:tcW w:w="397"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行调操作ATS终端，取消大学路站上下行跳停</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4</w:t>
            </w:r>
          </w:p>
        </w:tc>
      </w:tr>
      <w:tr>
        <w:tblPrEx>
          <w:tblCellMar>
            <w:top w:w="0" w:type="dxa"/>
            <w:left w:w="108" w:type="dxa"/>
            <w:bottom w:w="0" w:type="dxa"/>
            <w:right w:w="108" w:type="dxa"/>
          </w:tblCellMar>
        </w:tblPrEx>
        <w:trPr>
          <w:trHeight w:val="711"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无线电通知全线各次列车司机：“行调呼叫全线各次列车司机，请11409次司机复诵”</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仿真系统：“11409次司机收到”</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978" w:hRule="atLeast"/>
        </w:trPr>
        <w:tc>
          <w:tcPr>
            <w:tcW w:w="397" w:type="pct"/>
            <w:tcBorders>
              <w:top w:val="nil"/>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511" w:type="pct"/>
            <w:tcBorders>
              <w:top w:val="single" w:color="auto" w:sz="4" w:space="0"/>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无线电通知全线各次列车司机：“因大学路站客流疏散完毕，全线各次列车在大学路站上下行正常载客服务，行调101”</w:t>
            </w:r>
          </w:p>
        </w:tc>
        <w:tc>
          <w:tcPr>
            <w:tcW w:w="169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423" w:hRule="atLeast"/>
        </w:trPr>
        <w:tc>
          <w:tcPr>
            <w:tcW w:w="397" w:type="pct"/>
            <w:tcBorders>
              <w:top w:val="nil"/>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511" w:type="pct"/>
            <w:tcBorders>
              <w:top w:val="single" w:color="auto" w:sz="4" w:space="0"/>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96"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9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100　</w:t>
            </w:r>
          </w:p>
        </w:tc>
      </w:tr>
    </w:tbl>
    <w:p>
      <w:pPr>
        <w:pStyle w:val="2"/>
        <w:ind w:left="0" w:leftChars="0" w:right="2240" w:firstLine="0" w:firstLineChars="0"/>
      </w:pPr>
    </w:p>
    <w:p>
      <w:pPr>
        <w:pStyle w:val="7"/>
        <w:numPr>
          <w:ilvl w:val="0"/>
          <w:numId w:val="0"/>
        </w:numPr>
        <w:spacing w:line="590" w:lineRule="exact"/>
        <w:ind w:firstLine="643" w:firstLineChars="200"/>
        <w:jc w:val="both"/>
        <w:rPr>
          <w:rFonts w:ascii="Times New Roman" w:hAnsi="Times New Roman" w:eastAsia="方正仿宋_GBK" w:cs="Times New Roman"/>
          <w:color w:val="000000" w:themeColor="text1"/>
          <w:szCs w:val="32"/>
          <w14:textFill>
            <w14:solidFill>
              <w14:schemeClr w14:val="tx1"/>
            </w14:solidFill>
          </w14:textFill>
        </w:rPr>
      </w:pPr>
      <w:r>
        <w:rPr>
          <w:rFonts w:ascii="Times New Roman" w:hAnsi="Times New Roman" w:eastAsia="方正仿宋_GBK" w:cs="Times New Roman"/>
          <w:color w:val="000000" w:themeColor="text1"/>
          <w:szCs w:val="32"/>
          <w14:textFill>
            <w14:solidFill>
              <w14:schemeClr w14:val="tx1"/>
            </w14:solidFill>
          </w14:textFill>
        </w:rPr>
        <w:t>内容四：线路下沉应急处置</w:t>
      </w:r>
    </w:p>
    <w:p>
      <w:pPr>
        <w:widowControl/>
        <w:spacing w:line="590" w:lineRule="exact"/>
        <w:ind w:firstLine="643"/>
        <w:rPr>
          <w:rFonts w:ascii="Times New Roman" w:hAnsi="Times New Roman" w:eastAsia="方正仿宋_GBK" w:cs="Times New Roman"/>
          <w:szCs w:val="32"/>
        </w:rPr>
      </w:pPr>
      <w:r>
        <w:rPr>
          <w:rFonts w:ascii="Times New Roman" w:hAnsi="Times New Roman" w:eastAsia="方正仿宋_GBK" w:cs="Times New Roman"/>
          <w:b/>
          <w:szCs w:val="32"/>
        </w:rPr>
        <w:t>场景</w:t>
      </w:r>
      <w:r>
        <w:rPr>
          <w:b/>
          <w:bCs/>
        </w:rPr>
        <w:t>描述</w:t>
      </w:r>
      <w:r>
        <w:rPr>
          <w:rFonts w:ascii="Times New Roman" w:hAnsi="Times New Roman" w:eastAsia="方正仿宋_GBK" w:cs="Times New Roman"/>
          <w:b/>
          <w:szCs w:val="32"/>
        </w:rPr>
        <w:t>：</w:t>
      </w:r>
      <w:r>
        <w:rPr>
          <w:rFonts w:ascii="Times New Roman" w:hAnsi="Times New Roman" w:eastAsia="方正仿宋_GBK" w:cs="Times New Roman"/>
          <w:szCs w:val="32"/>
        </w:rPr>
        <w:t>A站至B站下/上行区间公里标XX处线路下沉无法通过，行调组织列车小交路运行并组织专业抢修。</w:t>
      </w:r>
    </w:p>
    <w:p>
      <w:pPr>
        <w:spacing w:line="590" w:lineRule="exact"/>
        <w:ind w:firstLine="643"/>
        <w:rPr>
          <w:rFonts w:ascii="Times New Roman" w:hAnsi="Times New Roman" w:eastAsia="方正仿宋_GBK" w:cs="Times New Roman"/>
          <w:szCs w:val="32"/>
        </w:rPr>
      </w:pPr>
      <w:r>
        <w:rPr>
          <w:rFonts w:ascii="Times New Roman" w:hAnsi="Times New Roman" w:eastAsia="方正仿宋_GBK" w:cs="Times New Roman"/>
          <w:b/>
          <w:szCs w:val="28"/>
        </w:rPr>
        <w:t>处置流程</w:t>
      </w:r>
      <w:r>
        <w:rPr>
          <w:rFonts w:hint="eastAsia" w:ascii="Times New Roman" w:hAnsi="Times New Roman" w:eastAsia="方正仿宋_GBK" w:cs="Times New Roman"/>
          <w:b/>
          <w:szCs w:val="28"/>
        </w:rPr>
        <w:t>：</w:t>
      </w:r>
      <w:r>
        <w:rPr>
          <w:rFonts w:ascii="Times New Roman" w:hAnsi="Times New Roman" w:eastAsia="方正仿宋_GBK" w:cs="Times New Roman"/>
          <w:szCs w:val="32"/>
        </w:rPr>
        <w:t>XXXX次列车报经过至A站至B站车站下/上行区间公里标XX处列车异常抖动，行调组织列车限速观察并通知车站观察列车情况。专业添乘后一趟列车在该处前停车确定为线路下沉超过阈值，不具备通过条件。行调组织该车退回，组织小交路并封锁故障区段组织抢修。</w:t>
      </w:r>
    </w:p>
    <w:p>
      <w:pPr>
        <w:spacing w:line="590" w:lineRule="exact"/>
        <w:ind w:firstLine="643"/>
        <w:rPr>
          <w:rFonts w:ascii="Times New Roman" w:hAnsi="Times New Roman" w:eastAsia="方正仿宋_GBK" w:cs="Times New Roman"/>
          <w:szCs w:val="32"/>
        </w:rPr>
      </w:pPr>
      <w:r>
        <w:rPr>
          <w:rFonts w:ascii="Times New Roman" w:hAnsi="Times New Roman" w:eastAsia="方正仿宋_GBK" w:cs="Times New Roman"/>
          <w:b/>
          <w:szCs w:val="28"/>
        </w:rPr>
        <w:t>完成操作：</w:t>
      </w:r>
      <w:r>
        <w:rPr>
          <w:rFonts w:ascii="Times New Roman" w:hAnsi="Times New Roman" w:eastAsia="方正仿宋_GBK" w:cs="Times New Roman"/>
          <w:szCs w:val="32"/>
        </w:rPr>
        <w:t>调度员按照标准处理流程进行线路下沉应急处置应急处置，并合理进行行车组织及抢修组织，未完成或执行错误的步骤不得分。</w:t>
      </w:r>
    </w:p>
    <w:tbl>
      <w:tblPr>
        <w:tblStyle w:val="31"/>
        <w:tblW w:w="4999" w:type="pct"/>
        <w:tblInd w:w="0" w:type="dxa"/>
        <w:tblLayout w:type="autofit"/>
        <w:tblCellMar>
          <w:top w:w="0" w:type="dxa"/>
          <w:left w:w="108" w:type="dxa"/>
          <w:bottom w:w="0" w:type="dxa"/>
          <w:right w:w="108" w:type="dxa"/>
        </w:tblCellMar>
      </w:tblPr>
      <w:tblGrid>
        <w:gridCol w:w="896"/>
        <w:gridCol w:w="4489"/>
        <w:gridCol w:w="2526"/>
        <w:gridCol w:w="531"/>
        <w:gridCol w:w="617"/>
      </w:tblGrid>
      <w:tr>
        <w:tblPrEx>
          <w:tblCellMar>
            <w:top w:w="0" w:type="dxa"/>
            <w:left w:w="108" w:type="dxa"/>
            <w:bottom w:w="0" w:type="dxa"/>
            <w:right w:w="108" w:type="dxa"/>
          </w:tblCellMar>
        </w:tblPrEx>
        <w:trPr>
          <w:gridAfter w:val="1"/>
          <w:wAfter w:w="388" w:type="pct"/>
          <w:trHeight w:val="600" w:hRule="atLeast"/>
        </w:trPr>
        <w:tc>
          <w:tcPr>
            <w:tcW w:w="430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b/>
                <w:bCs/>
                <w:kern w:val="0"/>
                <w:sz w:val="21"/>
                <w:szCs w:val="21"/>
              </w:rPr>
            </w:pPr>
            <w:r>
              <w:rPr>
                <w:rFonts w:hint="eastAsia" w:ascii="仿宋" w:hAnsi="仿宋" w:cs="仿宋"/>
                <w:b/>
                <w:bCs/>
                <w:kern w:val="0"/>
                <w:sz w:val="21"/>
                <w:szCs w:val="21"/>
              </w:rPr>
              <w:t>未来路至中心医院下行区间线路下沉应急处置</w:t>
            </w:r>
          </w:p>
        </w:tc>
        <w:tc>
          <w:tcPr>
            <w:tcW w:w="304"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gridAfter w:val="1"/>
          <w:wAfter w:w="388" w:type="pct"/>
          <w:trHeight w:val="600" w:hRule="atLeast"/>
        </w:trPr>
        <w:tc>
          <w:tcPr>
            <w:tcW w:w="52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b/>
                <w:bCs/>
                <w:kern w:val="0"/>
                <w:sz w:val="21"/>
                <w:szCs w:val="21"/>
              </w:rPr>
            </w:pPr>
            <w:r>
              <w:rPr>
                <w:rFonts w:hint="eastAsia" w:ascii="仿宋" w:hAnsi="仿宋" w:cs="仿宋"/>
                <w:b/>
                <w:bCs/>
                <w:kern w:val="0"/>
                <w:sz w:val="21"/>
                <w:szCs w:val="21"/>
              </w:rPr>
              <w:t>　</w:t>
            </w: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b/>
                <w:bCs/>
                <w:kern w:val="0"/>
                <w:sz w:val="21"/>
                <w:szCs w:val="21"/>
              </w:rPr>
            </w:pPr>
            <w:r>
              <w:rPr>
                <w:rFonts w:hint="eastAsia" w:ascii="仿宋" w:hAnsi="仿宋" w:cs="仿宋"/>
                <w:b/>
                <w:bCs/>
                <w:kern w:val="0"/>
                <w:sz w:val="21"/>
                <w:szCs w:val="21"/>
              </w:rPr>
              <w:t>调度员作业内容</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b/>
                <w:bCs/>
                <w:kern w:val="0"/>
                <w:sz w:val="21"/>
                <w:szCs w:val="21"/>
              </w:rPr>
            </w:pPr>
            <w:r>
              <w:rPr>
                <w:rFonts w:hint="eastAsia" w:ascii="仿宋" w:hAnsi="仿宋" w:cs="仿宋"/>
                <w:b/>
                <w:bCs/>
                <w:kern w:val="0"/>
                <w:sz w:val="21"/>
                <w:szCs w:val="21"/>
              </w:rPr>
              <w:t>仿真系统</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分数</w:t>
            </w:r>
          </w:p>
        </w:tc>
      </w:tr>
      <w:tr>
        <w:tblPrEx>
          <w:tblCellMar>
            <w:top w:w="0" w:type="dxa"/>
            <w:left w:w="108" w:type="dxa"/>
            <w:bottom w:w="0" w:type="dxa"/>
            <w:right w:w="108" w:type="dxa"/>
          </w:tblCellMar>
        </w:tblPrEx>
        <w:trPr>
          <w:gridAfter w:val="1"/>
          <w:wAfter w:w="388" w:type="pct"/>
          <w:trHeight w:val="1582" w:hRule="atLeast"/>
        </w:trPr>
        <w:tc>
          <w:tcPr>
            <w:tcW w:w="524" w:type="pct"/>
            <w:vMerge w:val="restar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故障接报</w:t>
            </w: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仿真系统：“行调，列车运行至未来路至中心医院下行公里标K7+100米处列车发生剧烈抖动，司机已按下紧停按钮停车”</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gridAfter w:val="1"/>
          <w:wAfter w:w="388" w:type="pct"/>
          <w:trHeight w:val="1005"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行调无线调度台联系11205次：“11205次，目前车辆、线路及弓网配合情况是否正常。”</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strike/>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gridAfter w:val="1"/>
          <w:wAfter w:w="388" w:type="pct"/>
          <w:trHeight w:val="108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仿真系统：“车辆、线路及弓网配合皆正常”</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gridAfter w:val="1"/>
          <w:wAfter w:w="388" w:type="pct"/>
          <w:trHeight w:val="428" w:hRule="atLeast"/>
        </w:trPr>
        <w:tc>
          <w:tcPr>
            <w:tcW w:w="524" w:type="pct"/>
            <w:vMerge w:val="restar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限速观察</w:t>
            </w: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行调无线调度台联系11205次：“11205次限速25运行，观察车辆、线路及弓网配合情况，有异常及时汇报”</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gridAfter w:val="1"/>
          <w:wAfter w:w="388" w:type="pct"/>
          <w:trHeight w:val="60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仿真系统：“限速观察，收到。”</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gridAfter w:val="1"/>
          <w:wAfter w:w="388" w:type="pct"/>
          <w:trHeight w:val="1116" w:hRule="atLeast"/>
        </w:trPr>
        <w:tc>
          <w:tcPr>
            <w:tcW w:w="524" w:type="pct"/>
            <w:vMerge w:val="restar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通知车站</w:t>
            </w: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行调调度电话通知中心医院站：“中心医院站，11205次报运行过程中列车发生剧烈抖动，抓紧时间派人至中心医院下行尾端小站台，确认列车运行状态有无异常。”</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gridAfter w:val="1"/>
          <w:wAfter w:w="388" w:type="pct"/>
          <w:trHeight w:val="60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仿真系统：“收到，人员已至下行尾端小站台待令”</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gridAfter w:val="1"/>
          <w:wAfter w:w="388" w:type="pct"/>
          <w:trHeight w:val="917"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行调调度电话通知未来路站：“未来路站，11205次报，运行至未来路至中心医院下行公里标K7+100米处列车发生剧烈抖动”</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gridAfter w:val="1"/>
          <w:wAfter w:w="388" w:type="pct"/>
          <w:trHeight w:val="83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行调调度电话通知未来路站：“派人至下行头端小站台待令，添乘19105次协同司机观察线路有无异常，并拍照留存。”</w:t>
            </w:r>
          </w:p>
        </w:tc>
        <w:tc>
          <w:tcPr>
            <w:tcW w:w="1274" w:type="pct"/>
            <w:tcBorders>
              <w:top w:val="nil"/>
              <w:left w:val="nil"/>
              <w:bottom w:val="single" w:color="000000" w:sz="4" w:space="0"/>
              <w:right w:val="nil"/>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gridAfter w:val="1"/>
          <w:wAfter w:w="388" w:type="pct"/>
          <w:trHeight w:val="60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仿真系统：“添乘19105次，收到”</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gridAfter w:val="1"/>
          <w:wAfter w:w="388" w:type="pct"/>
          <w:trHeight w:val="966" w:hRule="atLeast"/>
        </w:trPr>
        <w:tc>
          <w:tcPr>
            <w:tcW w:w="524" w:type="pct"/>
            <w:vMerge w:val="restar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汇报车辆专业</w:t>
            </w: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行调调度电话通知检修调度：“11205次报，运行至未来路至中心医院下行公里标K7+100米处列车有剧烈抖动现象，请派人前往查看车辆状态。”</w:t>
            </w:r>
          </w:p>
        </w:tc>
        <w:tc>
          <w:tcPr>
            <w:tcW w:w="1274" w:type="pct"/>
            <w:tcBorders>
              <w:top w:val="nil"/>
              <w:left w:val="nil"/>
              <w:bottom w:val="single" w:color="000000" w:sz="4" w:space="0"/>
              <w:right w:val="nil"/>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gridAfter w:val="1"/>
          <w:wAfter w:w="388" w:type="pct"/>
          <w:trHeight w:val="1215"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仿真系统：“收到，已安排车辆专业前往查看”</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gridAfter w:val="1"/>
          <w:wAfter w:w="388" w:type="pct"/>
          <w:trHeight w:val="885" w:hRule="atLeast"/>
        </w:trPr>
        <w:tc>
          <w:tcPr>
            <w:tcW w:w="524" w:type="pct"/>
            <w:vMerge w:val="restar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限速调整</w:t>
            </w: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行调无线电询问11205次：“11205次限速25运行有无异常。”</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gridAfter w:val="1"/>
          <w:wAfter w:w="388" w:type="pct"/>
          <w:trHeight w:val="60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仿真系统：“行调，无异常”</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gridAfter w:val="1"/>
          <w:wAfter w:w="388" w:type="pct"/>
          <w:trHeight w:val="1063"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行调：“11205次限速25运行无异常，改限45运行至中心医院站，观察车辆、线路及弓网配合情况，有异常及时汇报。”</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gridAfter w:val="1"/>
          <w:wAfter w:w="388" w:type="pct"/>
          <w:trHeight w:val="84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仿真系统：“改限45，收到。”</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gridAfter w:val="1"/>
          <w:wAfter w:w="388" w:type="pct"/>
          <w:trHeight w:val="834" w:hRule="atLeast"/>
        </w:trPr>
        <w:tc>
          <w:tcPr>
            <w:tcW w:w="524" w:type="pct"/>
            <w:vMerge w:val="restar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专业添乘</w:t>
            </w: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仿真系统：“行调，未来路站下行有专业人员请求添乘”</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gridAfter w:val="1"/>
          <w:wAfter w:w="388" w:type="pct"/>
          <w:trHeight w:val="60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行调调度电话回复未来路站：“同意添乘”</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gridAfter w:val="1"/>
          <w:wAfter w:w="388" w:type="pct"/>
          <w:trHeight w:val="142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行调无线电通知19105次：“19105次，前次列车报，经过未来路至中心医院下行区间公里标K7+100米处列车发生剧烈抖动，未来路站下行有专业人员添乘你次列车。”</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gridAfter w:val="1"/>
          <w:wAfter w:w="388" w:type="pct"/>
          <w:trHeight w:val="1114"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行调无线电通知19105次：“你次列车经过故障地点限速25运行，观察车辆、线路及弓网配合情况，有异常及时汇报。”</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gridAfter w:val="1"/>
          <w:wAfter w:w="388" w:type="pct"/>
          <w:trHeight w:val="60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gridAfter w:val="1"/>
          <w:wAfter w:w="388" w:type="pct"/>
          <w:trHeight w:val="600" w:hRule="atLeast"/>
        </w:trPr>
        <w:tc>
          <w:tcPr>
            <w:tcW w:w="524" w:type="pct"/>
            <w:vMerge w:val="restar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确认车辆状态</w:t>
            </w: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仿真系统：“行调，11205次列车进站过程未发现异常。”</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gridAfter w:val="1"/>
          <w:wAfter w:w="388" w:type="pct"/>
          <w:trHeight w:val="795"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行调调度电话通知中心医院站：“中心医院站继续观察后续列车，行调101”</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gridAfter w:val="1"/>
          <w:wAfter w:w="388" w:type="pct"/>
          <w:trHeight w:val="60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仿真系统：“收到，车辆专业请求添乘下行11205次”</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gridAfter w:val="1"/>
          <w:wAfter w:w="388" w:type="pct"/>
          <w:trHeight w:val="60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行调调度电话回复中心医院站：“同意添乘。”</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gridAfter w:val="1"/>
          <w:wAfter w:w="388" w:type="pct"/>
          <w:trHeight w:val="60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仿真系统：“行调，车辆专业确认车辆状态正常。”</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gridAfter w:val="1"/>
          <w:wAfter w:w="388" w:type="pct"/>
          <w:trHeight w:val="93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行调无线电台联系11205次：“收到，11205次后续取消限速。”</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strike/>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gridAfter w:val="1"/>
          <w:wAfter w:w="388" w:type="pct"/>
          <w:trHeight w:val="60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gridAfter w:val="1"/>
          <w:wAfter w:w="388" w:type="pct"/>
          <w:trHeight w:val="600" w:hRule="atLeast"/>
        </w:trPr>
        <w:tc>
          <w:tcPr>
            <w:tcW w:w="524" w:type="pct"/>
            <w:vMerge w:val="restar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换端退回</w:t>
            </w: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仿真系统：“行调，19105次在公里标K7+100米前停车，专业人员确认前方线路下沉，不具备通过条件”</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gridAfter w:val="1"/>
          <w:wAfter w:w="388" w:type="pct"/>
          <w:trHeight w:val="748"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行调无线电回复：“19105次现在换端，换端完毕切除ATC退回未来路站下行清客”</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gridAfter w:val="1"/>
          <w:wAfter w:w="388" w:type="pct"/>
          <w:trHeight w:val="60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仿真系统：“收到，已换端完毕，ATC已切除”</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gridAfter w:val="1"/>
          <w:wAfter w:w="388" w:type="pct"/>
          <w:trHeight w:val="842"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行调调度电话通知未来路站：“未来路站，19105次切除ATC退回你站下行清客，做好乘客服务”</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gridAfter w:val="1"/>
          <w:wAfter w:w="388" w:type="pct"/>
          <w:trHeight w:val="60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gridAfter w:val="1"/>
          <w:wAfter w:w="388" w:type="pct"/>
          <w:trHeight w:val="975" w:hRule="atLeast"/>
        </w:trPr>
        <w:tc>
          <w:tcPr>
            <w:tcW w:w="524" w:type="pct"/>
            <w:vMerge w:val="restar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交路准备</w:t>
            </w: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行调操作ATS终端，将X0702信号机设置为人工控。</w:t>
            </w:r>
            <w:r>
              <w:rPr>
                <w:rFonts w:hint="eastAsia" w:ascii="仿宋" w:hAnsi="仿宋" w:cs="仿宋"/>
                <w:kern w:val="0"/>
                <w:sz w:val="21"/>
                <w:szCs w:val="21"/>
              </w:rPr>
              <w:br w:type="textWrapping"/>
            </w:r>
            <w:r>
              <w:rPr>
                <w:rFonts w:hint="eastAsia" w:ascii="仿宋" w:hAnsi="仿宋" w:cs="仿宋"/>
                <w:kern w:val="0"/>
                <w:sz w:val="21"/>
                <w:szCs w:val="21"/>
              </w:rPr>
              <w:t>（若X0702至X0605进路已经触发，取消该进路）</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gridAfter w:val="1"/>
          <w:wAfter w:w="388" w:type="pct"/>
          <w:trHeight w:val="60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行调操作ATS终端，将X0604信号机设置为人工控。</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gridAfter w:val="1"/>
          <w:wAfter w:w="388" w:type="pct"/>
          <w:trHeight w:val="60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行调操作ATS终端，将S0609信号机设置为人工控。</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gridAfter w:val="1"/>
          <w:wAfter w:w="388" w:type="pct"/>
          <w:trHeight w:val="60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行调操作ATS终端，将S0404信号机设置为人工控。</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gridAfter w:val="1"/>
          <w:wAfter w:w="388" w:type="pct"/>
          <w:trHeight w:val="975" w:hRule="atLeast"/>
        </w:trPr>
        <w:tc>
          <w:tcPr>
            <w:tcW w:w="524" w:type="pct"/>
            <w:vMerge w:val="restar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交路命令</w:t>
            </w: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行调调度电话呼叫全线车站：“行调呼叫全线车站，请未来路站复诵”</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gridAfter w:val="1"/>
          <w:wAfter w:w="388" w:type="pct"/>
          <w:trHeight w:val="600" w:hRule="atLeast"/>
        </w:trPr>
        <w:tc>
          <w:tcPr>
            <w:tcW w:w="524" w:type="pct"/>
            <w:vMerge w:val="continue"/>
            <w:tcBorders>
              <w:top w:val="nil"/>
              <w:left w:val="nil"/>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仿真系统：“未来路站收到”</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gridAfter w:val="1"/>
          <w:wAfter w:w="388" w:type="pct"/>
          <w:trHeight w:val="795" w:hRule="atLeast"/>
        </w:trPr>
        <w:tc>
          <w:tcPr>
            <w:tcW w:w="524" w:type="pct"/>
            <w:vMerge w:val="continue"/>
            <w:tcBorders>
              <w:top w:val="nil"/>
              <w:left w:val="nil"/>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行调调度电话呼叫全线车站：“自发令时起，全线运行交路变更为会展中心站至市图书馆站小交路运行，市图书馆站采用下行线折返。”</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gridAfter w:val="1"/>
          <w:wAfter w:w="388" w:type="pct"/>
          <w:trHeight w:val="709" w:hRule="atLeast"/>
        </w:trPr>
        <w:tc>
          <w:tcPr>
            <w:tcW w:w="524" w:type="pct"/>
            <w:vMerge w:val="continue"/>
            <w:tcBorders>
              <w:top w:val="nil"/>
              <w:left w:val="nil"/>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“市图书馆站上行至未来路站上行单线双向运行，指定10906次担任单线双向运行列车”</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gridAfter w:val="1"/>
          <w:wAfter w:w="388" w:type="pct"/>
          <w:trHeight w:val="549" w:hRule="atLeast"/>
        </w:trPr>
        <w:tc>
          <w:tcPr>
            <w:tcW w:w="524" w:type="pct"/>
            <w:vMerge w:val="continue"/>
            <w:tcBorders>
              <w:top w:val="nil"/>
              <w:left w:val="nil"/>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“未来路站至火车东站小交路运行，未来路站采用下行线折返。行调101。”</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gridAfter w:val="1"/>
          <w:wAfter w:w="388" w:type="pct"/>
          <w:trHeight w:val="600" w:hRule="atLeast"/>
        </w:trPr>
        <w:tc>
          <w:tcPr>
            <w:tcW w:w="524" w:type="pct"/>
            <w:vMerge w:val="continue"/>
            <w:tcBorders>
              <w:top w:val="nil"/>
              <w:left w:val="nil"/>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gridAfter w:val="1"/>
          <w:wAfter w:w="388" w:type="pct"/>
          <w:trHeight w:val="600" w:hRule="atLeast"/>
        </w:trPr>
        <w:tc>
          <w:tcPr>
            <w:tcW w:w="524" w:type="pct"/>
            <w:vMerge w:val="continue"/>
            <w:tcBorders>
              <w:top w:val="nil"/>
              <w:left w:val="nil"/>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行调无线电呼叫全线各次列车司机：“行调呼叫全线各次列车司机，请10906次司机复诵”</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gridAfter w:val="1"/>
          <w:wAfter w:w="388" w:type="pct"/>
          <w:trHeight w:val="600" w:hRule="atLeast"/>
        </w:trPr>
        <w:tc>
          <w:tcPr>
            <w:tcW w:w="524" w:type="pct"/>
            <w:vMerge w:val="continue"/>
            <w:tcBorders>
              <w:top w:val="nil"/>
              <w:left w:val="nil"/>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仿真系统：“10906次收到”</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gridAfter w:val="1"/>
          <w:wAfter w:w="388" w:type="pct"/>
          <w:trHeight w:val="600" w:hRule="atLeast"/>
        </w:trPr>
        <w:tc>
          <w:tcPr>
            <w:tcW w:w="524" w:type="pct"/>
            <w:vMerge w:val="continue"/>
            <w:tcBorders>
              <w:top w:val="nil"/>
              <w:left w:val="nil"/>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行调无线电呼叫全线各次列车司机：“自发令时起，全线运行交路变更为会展中心站至市图书馆站小交路运行，市图书馆站采用下行线折返。”</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gridAfter w:val="1"/>
          <w:wAfter w:w="388" w:type="pct"/>
          <w:trHeight w:val="600" w:hRule="atLeast"/>
        </w:trPr>
        <w:tc>
          <w:tcPr>
            <w:tcW w:w="524" w:type="pct"/>
            <w:vMerge w:val="continue"/>
            <w:tcBorders>
              <w:top w:val="nil"/>
              <w:left w:val="nil"/>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“市图书馆站上行至未来路站上行单线双向运行，指定10906次担任单线双向运行列车。”</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gridAfter w:val="1"/>
          <w:wAfter w:w="388" w:type="pct"/>
          <w:trHeight w:val="600" w:hRule="atLeast"/>
        </w:trPr>
        <w:tc>
          <w:tcPr>
            <w:tcW w:w="524" w:type="pct"/>
            <w:vMerge w:val="continue"/>
            <w:tcBorders>
              <w:top w:val="nil"/>
              <w:left w:val="nil"/>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“未来路站至火车东站小交路运行，未来路站采用下行线折返。行调101。”</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gridAfter w:val="1"/>
          <w:wAfter w:w="388" w:type="pct"/>
          <w:trHeight w:val="600" w:hRule="atLeast"/>
        </w:trPr>
        <w:tc>
          <w:tcPr>
            <w:tcW w:w="524" w:type="pct"/>
            <w:vMerge w:val="continue"/>
            <w:tcBorders>
              <w:top w:val="nil"/>
              <w:left w:val="nil"/>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gridAfter w:val="1"/>
          <w:wAfter w:w="388" w:type="pct"/>
          <w:trHeight w:val="600" w:hRule="atLeast"/>
        </w:trPr>
        <w:tc>
          <w:tcPr>
            <w:tcW w:w="524" w:type="pct"/>
            <w:vMerge w:val="restar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抢修处理</w:t>
            </w: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仿真系统：“行调，19105次已清客完毕，专业请求下轨行区处理故障。”</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gridAfter w:val="1"/>
          <w:wAfter w:w="388" w:type="pct"/>
          <w:trHeight w:val="795"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行调调度电话回复未来路站：“19105次已清客完毕，行调收到，行调同意专业下轨行区处理，做好防护”</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gridAfter w:val="1"/>
          <w:wAfter w:w="388" w:type="pct"/>
          <w:trHeight w:val="60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仿真系统：“做好防护，车站收到”</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gridAfter w:val="1"/>
          <w:wAfter w:w="388" w:type="pct"/>
          <w:trHeight w:val="600" w:hRule="atLeast"/>
        </w:trPr>
        <w:tc>
          <w:tcPr>
            <w:tcW w:w="524" w:type="pct"/>
            <w:vMerge w:val="restart"/>
            <w:tcBorders>
              <w:top w:val="nil"/>
              <w:left w:val="single" w:color="000000" w:sz="4" w:space="0"/>
              <w:bottom w:val="nil"/>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交路组织</w:t>
            </w: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行调操作ATS终端排列S0607-S0601进路。</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gridAfter w:val="1"/>
          <w:wAfter w:w="388" w:type="pct"/>
          <w:trHeight w:val="990" w:hRule="atLeast"/>
        </w:trPr>
        <w:tc>
          <w:tcPr>
            <w:tcW w:w="524" w:type="pct"/>
            <w:vMerge w:val="continue"/>
            <w:tcBorders>
              <w:top w:val="nil"/>
              <w:left w:val="single" w:color="000000" w:sz="4" w:space="0"/>
              <w:bottom w:val="nil"/>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行调：“19105次现恢复ATC，确认前方进路安全，RM模式动车”</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gridAfter w:val="1"/>
          <w:wAfter w:w="388" w:type="pct"/>
          <w:trHeight w:val="600" w:hRule="atLeast"/>
        </w:trPr>
        <w:tc>
          <w:tcPr>
            <w:tcW w:w="524" w:type="pct"/>
            <w:vMerge w:val="continue"/>
            <w:tcBorders>
              <w:top w:val="nil"/>
              <w:left w:val="single" w:color="000000" w:sz="4" w:space="0"/>
              <w:bottom w:val="nil"/>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仿真系统：“19105次已动车”</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gridAfter w:val="1"/>
          <w:wAfter w:w="388" w:type="pct"/>
          <w:trHeight w:val="600" w:hRule="atLeast"/>
        </w:trPr>
        <w:tc>
          <w:tcPr>
            <w:tcW w:w="524" w:type="pct"/>
            <w:vMerge w:val="continue"/>
            <w:tcBorders>
              <w:top w:val="nil"/>
              <w:left w:val="single" w:color="000000" w:sz="4" w:space="0"/>
              <w:bottom w:val="nil"/>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行调操作ATS终端排列X0606-X0416进路。</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gridAfter w:val="1"/>
          <w:wAfter w:w="388" w:type="pct"/>
          <w:trHeight w:val="587" w:hRule="atLeast"/>
        </w:trPr>
        <w:tc>
          <w:tcPr>
            <w:tcW w:w="524" w:type="pct"/>
            <w:vMerge w:val="continue"/>
            <w:tcBorders>
              <w:top w:val="nil"/>
              <w:left w:val="single" w:color="000000" w:sz="4" w:space="0"/>
              <w:bottom w:val="nil"/>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行调无线电联系10906：“10906次未来路站换端完毕，反向运行至市图书馆站”</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gridAfter w:val="1"/>
          <w:wAfter w:w="388" w:type="pct"/>
          <w:trHeight w:val="600" w:hRule="atLeast"/>
        </w:trPr>
        <w:tc>
          <w:tcPr>
            <w:tcW w:w="524" w:type="pct"/>
            <w:vMerge w:val="continue"/>
            <w:tcBorders>
              <w:top w:val="nil"/>
              <w:left w:val="single" w:color="000000" w:sz="4" w:space="0"/>
              <w:bottom w:val="nil"/>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行调密切关注小交路</w:t>
            </w:r>
            <w:r>
              <w:rPr>
                <w:rFonts w:hint="eastAsia" w:ascii="仿宋" w:hAnsi="仿宋" w:cs="仿宋"/>
                <w:kern w:val="0"/>
                <w:sz w:val="21"/>
                <w:szCs w:val="21"/>
              </w:rPr>
              <w:br w:type="textWrapping"/>
            </w:r>
            <w:r>
              <w:rPr>
                <w:rFonts w:hint="eastAsia" w:ascii="仿宋" w:hAnsi="仿宋" w:cs="仿宋"/>
                <w:kern w:val="0"/>
                <w:sz w:val="21"/>
                <w:szCs w:val="21"/>
              </w:rPr>
              <w:t>1、行调人工准备S0412-S0401，S0404-S0412进路，组织会展中心站至市图书馆站小交路；</w:t>
            </w:r>
            <w:r>
              <w:rPr>
                <w:rFonts w:hint="eastAsia" w:ascii="仿宋" w:hAnsi="仿宋" w:cs="仿宋"/>
                <w:kern w:val="0"/>
                <w:sz w:val="21"/>
                <w:szCs w:val="21"/>
              </w:rPr>
              <w:br w:type="textWrapping"/>
            </w:r>
            <w:r>
              <w:rPr>
                <w:rFonts w:hint="eastAsia" w:ascii="仿宋" w:hAnsi="仿宋" w:cs="仿宋"/>
                <w:kern w:val="0"/>
                <w:sz w:val="21"/>
                <w:szCs w:val="21"/>
              </w:rPr>
              <w:t>2、待列车在市图书馆站下行站台换端后，更改该列车的目的码为014，服务号不变。</w:t>
            </w:r>
            <w:r>
              <w:rPr>
                <w:rFonts w:hint="eastAsia" w:ascii="仿宋" w:hAnsi="仿宋" w:cs="仿宋"/>
                <w:kern w:val="0"/>
                <w:sz w:val="21"/>
                <w:szCs w:val="21"/>
              </w:rPr>
              <w:br w:type="textWrapping"/>
            </w:r>
            <w:r>
              <w:rPr>
                <w:rFonts w:hint="eastAsia" w:ascii="仿宋" w:hAnsi="仿宋" w:cs="仿宋"/>
                <w:kern w:val="0"/>
                <w:sz w:val="21"/>
                <w:szCs w:val="21"/>
              </w:rPr>
              <w:t>3、行调人工准备X0702-X0605，X0605-X0604进路，组织未来站至火车东站小交路；</w:t>
            </w:r>
            <w:r>
              <w:rPr>
                <w:rFonts w:hint="eastAsia" w:ascii="仿宋" w:hAnsi="仿宋" w:cs="仿宋"/>
                <w:kern w:val="0"/>
                <w:sz w:val="21"/>
                <w:szCs w:val="21"/>
              </w:rPr>
              <w:br w:type="textWrapping"/>
            </w:r>
            <w:r>
              <w:rPr>
                <w:rFonts w:hint="eastAsia" w:ascii="仿宋" w:hAnsi="仿宋" w:cs="仿宋"/>
                <w:kern w:val="0"/>
                <w:sz w:val="21"/>
                <w:szCs w:val="21"/>
              </w:rPr>
              <w:t>4、待列车在未来路站下行站台换端后，更改该列车的目的码为254，服务号不变</w:t>
            </w:r>
          </w:p>
        </w:tc>
        <w:tc>
          <w:tcPr>
            <w:tcW w:w="1274" w:type="pct"/>
            <w:vMerge w:val="restar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304" w:type="pct"/>
            <w:vMerge w:val="restar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7</w:t>
            </w:r>
          </w:p>
        </w:tc>
      </w:tr>
      <w:tr>
        <w:tblPrEx>
          <w:tblCellMar>
            <w:top w:w="0" w:type="dxa"/>
            <w:left w:w="108" w:type="dxa"/>
            <w:bottom w:w="0" w:type="dxa"/>
            <w:right w:w="108" w:type="dxa"/>
          </w:tblCellMar>
        </w:tblPrEx>
        <w:trPr>
          <w:trHeight w:val="600" w:hRule="atLeast"/>
        </w:trPr>
        <w:tc>
          <w:tcPr>
            <w:tcW w:w="524" w:type="pct"/>
            <w:vMerge w:val="continue"/>
            <w:tcBorders>
              <w:top w:val="nil"/>
              <w:left w:val="single" w:color="000000" w:sz="4" w:space="0"/>
              <w:bottom w:val="nil"/>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vMerge w:val="continue"/>
            <w:tcBorders>
              <w:top w:val="single" w:color="000000" w:sz="4" w:space="0"/>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127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30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388" w:type="pct"/>
            <w:tcBorders>
              <w:top w:val="nil"/>
              <w:left w:val="nil"/>
              <w:bottom w:val="nil"/>
              <w:right w:val="nil"/>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p>
        </w:tc>
      </w:tr>
      <w:tr>
        <w:tblPrEx>
          <w:tblCellMar>
            <w:top w:w="0" w:type="dxa"/>
            <w:left w:w="108" w:type="dxa"/>
            <w:bottom w:w="0" w:type="dxa"/>
            <w:right w:w="108" w:type="dxa"/>
          </w:tblCellMar>
        </w:tblPrEx>
        <w:trPr>
          <w:trHeight w:val="600" w:hRule="atLeast"/>
        </w:trPr>
        <w:tc>
          <w:tcPr>
            <w:tcW w:w="524" w:type="pct"/>
            <w:vMerge w:val="continue"/>
            <w:tcBorders>
              <w:top w:val="nil"/>
              <w:left w:val="single" w:color="000000" w:sz="4" w:space="0"/>
              <w:bottom w:val="nil"/>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vMerge w:val="continue"/>
            <w:tcBorders>
              <w:top w:val="single" w:color="000000" w:sz="4" w:space="0"/>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127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30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388" w:type="pct"/>
            <w:tcBorders>
              <w:top w:val="nil"/>
              <w:left w:val="nil"/>
              <w:bottom w:val="nil"/>
              <w:right w:val="nil"/>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p>
        </w:tc>
      </w:tr>
      <w:tr>
        <w:tblPrEx>
          <w:tblCellMar>
            <w:top w:w="0" w:type="dxa"/>
            <w:left w:w="108" w:type="dxa"/>
            <w:bottom w:w="0" w:type="dxa"/>
            <w:right w:w="108" w:type="dxa"/>
          </w:tblCellMar>
        </w:tblPrEx>
        <w:trPr>
          <w:trHeight w:val="897" w:hRule="atLeast"/>
        </w:trPr>
        <w:tc>
          <w:tcPr>
            <w:tcW w:w="524" w:type="pct"/>
            <w:vMerge w:val="continue"/>
            <w:tcBorders>
              <w:top w:val="nil"/>
              <w:left w:val="single" w:color="000000" w:sz="4" w:space="0"/>
              <w:bottom w:val="nil"/>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vMerge w:val="continue"/>
            <w:tcBorders>
              <w:top w:val="single" w:color="000000" w:sz="4" w:space="0"/>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127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30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388" w:type="pct"/>
            <w:tcBorders>
              <w:top w:val="nil"/>
              <w:left w:val="nil"/>
              <w:bottom w:val="nil"/>
              <w:right w:val="nil"/>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p>
        </w:tc>
      </w:tr>
      <w:tr>
        <w:tblPrEx>
          <w:tblCellMar>
            <w:top w:w="0" w:type="dxa"/>
            <w:left w:w="108" w:type="dxa"/>
            <w:bottom w:w="0" w:type="dxa"/>
            <w:right w:w="108" w:type="dxa"/>
          </w:tblCellMar>
        </w:tblPrEx>
        <w:trPr>
          <w:trHeight w:val="1827" w:hRule="atLeast"/>
        </w:trPr>
        <w:tc>
          <w:tcPr>
            <w:tcW w:w="524" w:type="pct"/>
            <w:vMerge w:val="continue"/>
            <w:tcBorders>
              <w:top w:val="nil"/>
              <w:left w:val="single" w:color="000000" w:sz="4" w:space="0"/>
              <w:bottom w:val="nil"/>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若未及时组织列车小交路运行，出现以下任一情况扣7分，最多扣7分</w:t>
            </w:r>
            <w:r>
              <w:rPr>
                <w:rFonts w:hint="eastAsia" w:ascii="仿宋" w:hAnsi="仿宋" w:cs="仿宋"/>
                <w:kern w:val="0"/>
                <w:sz w:val="21"/>
                <w:szCs w:val="21"/>
              </w:rPr>
              <w:br w:type="textWrapping"/>
            </w:r>
            <w:r>
              <w:rPr>
                <w:rFonts w:hint="eastAsia" w:ascii="仿宋" w:hAnsi="仿宋" w:cs="仿宋"/>
                <w:kern w:val="0"/>
                <w:sz w:val="21"/>
                <w:szCs w:val="21"/>
              </w:rPr>
              <w:t>1、列车在S0404、S0412、S0601信号机前停留超过5秒钟，每列扣7分；</w:t>
            </w:r>
            <w:r>
              <w:rPr>
                <w:rFonts w:hint="eastAsia" w:ascii="仿宋" w:hAnsi="仿宋" w:cs="仿宋"/>
                <w:kern w:val="0"/>
                <w:sz w:val="21"/>
                <w:szCs w:val="21"/>
              </w:rPr>
              <w:br w:type="textWrapping"/>
            </w:r>
            <w:r>
              <w:rPr>
                <w:rFonts w:hint="eastAsia" w:ascii="仿宋" w:hAnsi="仿宋" w:cs="仿宋"/>
                <w:kern w:val="0"/>
                <w:sz w:val="21"/>
                <w:szCs w:val="21"/>
              </w:rPr>
              <w:t>2、列车在X0414、X0604、X0702信号机前停留超过2分钟，每列扣7分</w:t>
            </w:r>
          </w:p>
        </w:tc>
        <w:tc>
          <w:tcPr>
            <w:tcW w:w="127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30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388" w:type="pct"/>
            <w:vAlign w:val="center"/>
          </w:tcPr>
          <w:p>
            <w:pPr>
              <w:widowControl/>
              <w:adjustRightInd/>
              <w:snapToGrid/>
              <w:spacing w:line="240" w:lineRule="auto"/>
              <w:ind w:firstLine="0" w:firstLineChars="0"/>
              <w:jc w:val="left"/>
              <w:rPr>
                <w:rFonts w:ascii="仿宋" w:hAnsi="仿宋" w:cs="仿宋"/>
                <w:kern w:val="0"/>
                <w:sz w:val="21"/>
                <w:szCs w:val="21"/>
              </w:rPr>
            </w:pPr>
          </w:p>
        </w:tc>
      </w:tr>
      <w:tr>
        <w:tblPrEx>
          <w:tblCellMar>
            <w:top w:w="0" w:type="dxa"/>
            <w:left w:w="108" w:type="dxa"/>
            <w:bottom w:w="0" w:type="dxa"/>
            <w:right w:w="108" w:type="dxa"/>
          </w:tblCellMar>
        </w:tblPrEx>
        <w:trPr>
          <w:trHeight w:val="946" w:hRule="atLeast"/>
        </w:trPr>
        <w:tc>
          <w:tcPr>
            <w:tcW w:w="52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故障恢复</w:t>
            </w: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仿真系统：“行调，线路故障经专业处理已恢复正常，人员工具均已出清”</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388" w:type="pct"/>
            <w:vAlign w:val="center"/>
          </w:tcPr>
          <w:p>
            <w:pPr>
              <w:widowControl/>
              <w:adjustRightInd/>
              <w:snapToGrid/>
              <w:spacing w:line="240" w:lineRule="auto"/>
              <w:ind w:firstLine="0" w:firstLineChars="0"/>
              <w:jc w:val="left"/>
              <w:rPr>
                <w:rFonts w:ascii="仿宋" w:hAnsi="仿宋" w:cs="仿宋"/>
                <w:kern w:val="0"/>
                <w:sz w:val="21"/>
                <w:szCs w:val="21"/>
              </w:rPr>
            </w:pPr>
          </w:p>
        </w:tc>
      </w:tr>
      <w:tr>
        <w:tblPrEx>
          <w:tblCellMar>
            <w:top w:w="0" w:type="dxa"/>
            <w:left w:w="108" w:type="dxa"/>
            <w:bottom w:w="0" w:type="dxa"/>
            <w:right w:w="108" w:type="dxa"/>
          </w:tblCellMar>
        </w:tblPrEx>
        <w:trPr>
          <w:trHeight w:val="600" w:hRule="atLeast"/>
        </w:trPr>
        <w:tc>
          <w:tcPr>
            <w:tcW w:w="524" w:type="pct"/>
            <w:vMerge w:val="continue"/>
            <w:tcBorders>
              <w:top w:val="single" w:color="000000" w:sz="4" w:space="0"/>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行调：“请确认线路有无安全限制条件。”</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c>
          <w:tcPr>
            <w:tcW w:w="388" w:type="pct"/>
            <w:vAlign w:val="center"/>
          </w:tcPr>
          <w:p>
            <w:pPr>
              <w:widowControl/>
              <w:adjustRightInd/>
              <w:snapToGrid/>
              <w:spacing w:line="240" w:lineRule="auto"/>
              <w:ind w:firstLine="0" w:firstLineChars="0"/>
              <w:jc w:val="left"/>
              <w:rPr>
                <w:rFonts w:ascii="仿宋" w:hAnsi="仿宋" w:cs="仿宋"/>
                <w:kern w:val="0"/>
                <w:sz w:val="21"/>
                <w:szCs w:val="21"/>
              </w:rPr>
            </w:pPr>
          </w:p>
        </w:tc>
      </w:tr>
      <w:tr>
        <w:tblPrEx>
          <w:tblCellMar>
            <w:top w:w="0" w:type="dxa"/>
            <w:left w:w="108" w:type="dxa"/>
            <w:bottom w:w="0" w:type="dxa"/>
            <w:right w:w="108" w:type="dxa"/>
          </w:tblCellMar>
        </w:tblPrEx>
        <w:trPr>
          <w:trHeight w:val="825" w:hRule="atLeast"/>
        </w:trPr>
        <w:tc>
          <w:tcPr>
            <w:tcW w:w="524" w:type="pct"/>
            <w:vMerge w:val="continue"/>
            <w:tcBorders>
              <w:top w:val="single" w:color="000000" w:sz="4" w:space="0"/>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仿真系统：“无安全限制条件”</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388" w:type="pct"/>
            <w:vAlign w:val="center"/>
          </w:tcPr>
          <w:p>
            <w:pPr>
              <w:widowControl/>
              <w:adjustRightInd/>
              <w:snapToGrid/>
              <w:spacing w:line="240" w:lineRule="auto"/>
              <w:ind w:firstLine="0" w:firstLineChars="0"/>
              <w:jc w:val="left"/>
              <w:rPr>
                <w:rFonts w:ascii="仿宋" w:hAnsi="仿宋" w:cs="仿宋"/>
                <w:kern w:val="0"/>
                <w:sz w:val="21"/>
                <w:szCs w:val="21"/>
              </w:rPr>
            </w:pPr>
          </w:p>
        </w:tc>
      </w:tr>
      <w:tr>
        <w:tblPrEx>
          <w:tblCellMar>
            <w:top w:w="0" w:type="dxa"/>
            <w:left w:w="108" w:type="dxa"/>
            <w:bottom w:w="0" w:type="dxa"/>
            <w:right w:w="108" w:type="dxa"/>
          </w:tblCellMar>
        </w:tblPrEx>
        <w:trPr>
          <w:trHeight w:val="600" w:hRule="atLeast"/>
        </w:trPr>
        <w:tc>
          <w:tcPr>
            <w:tcW w:w="524" w:type="pct"/>
            <w:vMerge w:val="restar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行调操作ATS终端，将X0702信号机设置为自动控。</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c>
          <w:tcPr>
            <w:tcW w:w="388" w:type="pct"/>
            <w:vAlign w:val="center"/>
          </w:tcPr>
          <w:p>
            <w:pPr>
              <w:widowControl/>
              <w:adjustRightInd/>
              <w:snapToGrid/>
              <w:spacing w:line="240" w:lineRule="auto"/>
              <w:ind w:firstLine="0" w:firstLineChars="0"/>
              <w:jc w:val="left"/>
              <w:rPr>
                <w:rFonts w:ascii="仿宋" w:hAnsi="仿宋" w:cs="仿宋"/>
                <w:kern w:val="0"/>
                <w:sz w:val="21"/>
                <w:szCs w:val="21"/>
              </w:rPr>
            </w:pPr>
          </w:p>
        </w:tc>
      </w:tr>
      <w:tr>
        <w:tblPrEx>
          <w:tblCellMar>
            <w:top w:w="0" w:type="dxa"/>
            <w:left w:w="108" w:type="dxa"/>
            <w:bottom w:w="0" w:type="dxa"/>
            <w:right w:w="108" w:type="dxa"/>
          </w:tblCellMar>
        </w:tblPrEx>
        <w:trPr>
          <w:trHeight w:val="60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行调操作ATS终端，将S0404信号机设置为自动控。</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c>
          <w:tcPr>
            <w:tcW w:w="388" w:type="pct"/>
            <w:vAlign w:val="center"/>
          </w:tcPr>
          <w:p>
            <w:pPr>
              <w:widowControl/>
              <w:adjustRightInd/>
              <w:snapToGrid/>
              <w:spacing w:line="240" w:lineRule="auto"/>
              <w:ind w:firstLine="0" w:firstLineChars="0"/>
              <w:jc w:val="left"/>
              <w:rPr>
                <w:rFonts w:ascii="仿宋" w:hAnsi="仿宋" w:cs="仿宋"/>
                <w:kern w:val="0"/>
                <w:sz w:val="21"/>
                <w:szCs w:val="21"/>
              </w:rPr>
            </w:pPr>
          </w:p>
        </w:tc>
      </w:tr>
      <w:tr>
        <w:tblPrEx>
          <w:tblCellMar>
            <w:top w:w="0" w:type="dxa"/>
            <w:left w:w="108" w:type="dxa"/>
            <w:bottom w:w="0" w:type="dxa"/>
            <w:right w:w="108" w:type="dxa"/>
          </w:tblCellMar>
        </w:tblPrEx>
        <w:trPr>
          <w:trHeight w:val="60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行调操作ATS终端，将X0604信号机设置为自动控。</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c>
          <w:tcPr>
            <w:tcW w:w="388" w:type="pct"/>
            <w:vAlign w:val="center"/>
          </w:tcPr>
          <w:p>
            <w:pPr>
              <w:widowControl/>
              <w:adjustRightInd/>
              <w:snapToGrid/>
              <w:spacing w:line="240" w:lineRule="auto"/>
              <w:ind w:firstLine="0" w:firstLineChars="0"/>
              <w:jc w:val="left"/>
              <w:rPr>
                <w:rFonts w:ascii="仿宋" w:hAnsi="仿宋" w:cs="仿宋"/>
                <w:kern w:val="0"/>
                <w:sz w:val="21"/>
                <w:szCs w:val="21"/>
              </w:rPr>
            </w:pPr>
          </w:p>
        </w:tc>
      </w:tr>
      <w:tr>
        <w:tblPrEx>
          <w:tblCellMar>
            <w:top w:w="0" w:type="dxa"/>
            <w:left w:w="108" w:type="dxa"/>
            <w:bottom w:w="0" w:type="dxa"/>
            <w:right w:w="108" w:type="dxa"/>
          </w:tblCellMar>
        </w:tblPrEx>
        <w:trPr>
          <w:trHeight w:val="60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行调操作ATS终端，将S0609信号机设置为自动控。</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c>
          <w:tcPr>
            <w:tcW w:w="388" w:type="pct"/>
            <w:vAlign w:val="center"/>
          </w:tcPr>
          <w:p>
            <w:pPr>
              <w:widowControl/>
              <w:adjustRightInd/>
              <w:snapToGrid/>
              <w:spacing w:line="240" w:lineRule="auto"/>
              <w:ind w:firstLine="0" w:firstLineChars="0"/>
              <w:jc w:val="left"/>
              <w:rPr>
                <w:rFonts w:ascii="仿宋" w:hAnsi="仿宋" w:cs="仿宋"/>
                <w:kern w:val="0"/>
                <w:sz w:val="21"/>
                <w:szCs w:val="21"/>
              </w:rPr>
            </w:pPr>
          </w:p>
        </w:tc>
      </w:tr>
      <w:tr>
        <w:tblPrEx>
          <w:tblCellMar>
            <w:top w:w="0" w:type="dxa"/>
            <w:left w:w="108" w:type="dxa"/>
            <w:bottom w:w="0" w:type="dxa"/>
            <w:right w:w="108" w:type="dxa"/>
          </w:tblCellMar>
        </w:tblPrEx>
        <w:trPr>
          <w:trHeight w:val="990" w:hRule="atLeast"/>
        </w:trPr>
        <w:tc>
          <w:tcPr>
            <w:tcW w:w="524" w:type="pct"/>
            <w:vMerge w:val="restar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恢复交路</w:t>
            </w: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行调调度电话呼叫全线车站：“行调呼叫全线车站，请未来路站复诵”</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仿真系统：“未来路站收到”</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c>
          <w:tcPr>
            <w:tcW w:w="388" w:type="pct"/>
            <w:vAlign w:val="center"/>
          </w:tcPr>
          <w:p>
            <w:pPr>
              <w:widowControl/>
              <w:adjustRightInd/>
              <w:snapToGrid/>
              <w:spacing w:line="240" w:lineRule="auto"/>
              <w:ind w:firstLine="0" w:firstLineChars="0"/>
              <w:jc w:val="left"/>
              <w:rPr>
                <w:rFonts w:ascii="仿宋" w:hAnsi="仿宋" w:cs="仿宋"/>
                <w:kern w:val="0"/>
                <w:sz w:val="21"/>
                <w:szCs w:val="21"/>
              </w:rPr>
            </w:pPr>
          </w:p>
        </w:tc>
      </w:tr>
      <w:tr>
        <w:tblPrEx>
          <w:tblCellMar>
            <w:top w:w="0" w:type="dxa"/>
            <w:left w:w="108" w:type="dxa"/>
            <w:bottom w:w="0" w:type="dxa"/>
            <w:right w:w="108" w:type="dxa"/>
          </w:tblCellMar>
        </w:tblPrEx>
        <w:trPr>
          <w:trHeight w:val="120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“因线路故障恢复，自发令时起，全线运行交路恢复为会展中心站至火车东站正常交路运行，行调101。”</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c>
          <w:tcPr>
            <w:tcW w:w="388" w:type="pct"/>
            <w:vAlign w:val="center"/>
          </w:tcPr>
          <w:p>
            <w:pPr>
              <w:widowControl/>
              <w:adjustRightInd/>
              <w:snapToGrid/>
              <w:spacing w:line="240" w:lineRule="auto"/>
              <w:ind w:firstLine="0" w:firstLineChars="0"/>
              <w:jc w:val="left"/>
              <w:rPr>
                <w:rFonts w:ascii="仿宋" w:hAnsi="仿宋" w:cs="仿宋"/>
                <w:kern w:val="0"/>
                <w:sz w:val="21"/>
                <w:szCs w:val="21"/>
              </w:rPr>
            </w:pPr>
          </w:p>
        </w:tc>
      </w:tr>
      <w:tr>
        <w:tblPrEx>
          <w:tblCellMar>
            <w:top w:w="0" w:type="dxa"/>
            <w:left w:w="108" w:type="dxa"/>
            <w:bottom w:w="0" w:type="dxa"/>
            <w:right w:w="108" w:type="dxa"/>
          </w:tblCellMar>
        </w:tblPrEx>
        <w:trPr>
          <w:trHeight w:val="60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仿真系统：“车站收到”</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388" w:type="pct"/>
            <w:vAlign w:val="center"/>
          </w:tcPr>
          <w:p>
            <w:pPr>
              <w:widowControl/>
              <w:adjustRightInd/>
              <w:snapToGrid/>
              <w:spacing w:line="240" w:lineRule="auto"/>
              <w:ind w:firstLine="0" w:firstLineChars="0"/>
              <w:jc w:val="left"/>
              <w:rPr>
                <w:rFonts w:ascii="仿宋" w:hAnsi="仿宋" w:cs="仿宋"/>
                <w:kern w:val="0"/>
                <w:sz w:val="21"/>
                <w:szCs w:val="21"/>
              </w:rPr>
            </w:pPr>
          </w:p>
        </w:tc>
      </w:tr>
      <w:tr>
        <w:tblPrEx>
          <w:tblCellMar>
            <w:top w:w="0" w:type="dxa"/>
            <w:left w:w="108" w:type="dxa"/>
            <w:bottom w:w="0" w:type="dxa"/>
            <w:right w:w="108" w:type="dxa"/>
          </w:tblCellMar>
        </w:tblPrEx>
        <w:trPr>
          <w:trHeight w:val="99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行调无线电呼叫全线各次列车司机：“行调呼叫全线各次列车司机，请10906次司机复诵”</w:t>
            </w:r>
          </w:p>
        </w:tc>
        <w:tc>
          <w:tcPr>
            <w:tcW w:w="1274" w:type="pct"/>
            <w:tcBorders>
              <w:top w:val="nil"/>
              <w:left w:val="nil"/>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仿真系统：“10906次司机收到”</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c>
          <w:tcPr>
            <w:tcW w:w="388" w:type="pct"/>
            <w:vAlign w:val="center"/>
          </w:tcPr>
          <w:p>
            <w:pPr>
              <w:widowControl/>
              <w:adjustRightInd/>
              <w:snapToGrid/>
              <w:spacing w:line="240" w:lineRule="auto"/>
              <w:ind w:firstLine="0" w:firstLineChars="0"/>
              <w:jc w:val="left"/>
              <w:rPr>
                <w:rFonts w:ascii="仿宋" w:hAnsi="仿宋" w:cs="仿宋"/>
                <w:kern w:val="0"/>
                <w:sz w:val="21"/>
                <w:szCs w:val="21"/>
              </w:rPr>
            </w:pPr>
          </w:p>
        </w:tc>
      </w:tr>
      <w:tr>
        <w:tblPrEx>
          <w:tblCellMar>
            <w:top w:w="0" w:type="dxa"/>
            <w:left w:w="108" w:type="dxa"/>
            <w:bottom w:w="0" w:type="dxa"/>
            <w:right w:w="108" w:type="dxa"/>
          </w:tblCellMar>
        </w:tblPrEx>
        <w:trPr>
          <w:trHeight w:val="975"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“因线路故障恢复，自发令时起，全线运行交路恢复为会展中心站至火车东站正常交路运行，行调101。”</w:t>
            </w:r>
          </w:p>
        </w:tc>
        <w:tc>
          <w:tcPr>
            <w:tcW w:w="1274" w:type="pct"/>
            <w:tcBorders>
              <w:top w:val="nil"/>
              <w:left w:val="nil"/>
              <w:bottom w:val="single" w:color="000000" w:sz="4" w:space="0"/>
              <w:right w:val="nil"/>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c>
          <w:tcPr>
            <w:tcW w:w="388" w:type="pct"/>
            <w:vAlign w:val="center"/>
          </w:tcPr>
          <w:p>
            <w:pPr>
              <w:widowControl/>
              <w:adjustRightInd/>
              <w:snapToGrid/>
              <w:spacing w:line="240" w:lineRule="auto"/>
              <w:ind w:firstLine="0" w:firstLineChars="0"/>
              <w:jc w:val="left"/>
              <w:rPr>
                <w:rFonts w:ascii="仿宋" w:hAnsi="仿宋" w:cs="仿宋"/>
                <w:kern w:val="0"/>
                <w:sz w:val="21"/>
                <w:szCs w:val="21"/>
              </w:rPr>
            </w:pPr>
          </w:p>
        </w:tc>
      </w:tr>
      <w:tr>
        <w:tblPrEx>
          <w:tblCellMar>
            <w:top w:w="0" w:type="dxa"/>
            <w:left w:w="108" w:type="dxa"/>
            <w:bottom w:w="0" w:type="dxa"/>
            <w:right w:w="108" w:type="dxa"/>
          </w:tblCellMar>
        </w:tblPrEx>
        <w:trPr>
          <w:trHeight w:val="600"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06"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274" w:type="pct"/>
            <w:tcBorders>
              <w:top w:val="nil"/>
              <w:left w:val="nil"/>
              <w:bottom w:val="single" w:color="000000" w:sz="4" w:space="0"/>
              <w:right w:val="nil"/>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仿真系统：“司机收到”</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388" w:type="pct"/>
            <w:vAlign w:val="center"/>
          </w:tcPr>
          <w:p>
            <w:pPr>
              <w:widowControl/>
              <w:adjustRightInd/>
              <w:snapToGrid/>
              <w:spacing w:line="240" w:lineRule="auto"/>
              <w:ind w:firstLine="0" w:firstLineChars="0"/>
              <w:jc w:val="left"/>
              <w:rPr>
                <w:rFonts w:ascii="仿宋" w:hAnsi="仿宋" w:cs="仿宋"/>
                <w:kern w:val="0"/>
                <w:sz w:val="21"/>
                <w:szCs w:val="21"/>
              </w:rPr>
            </w:pPr>
          </w:p>
        </w:tc>
      </w:tr>
      <w:tr>
        <w:tblPrEx>
          <w:tblCellMar>
            <w:top w:w="0" w:type="dxa"/>
            <w:left w:w="108" w:type="dxa"/>
            <w:bottom w:w="0" w:type="dxa"/>
            <w:right w:w="108" w:type="dxa"/>
          </w:tblCellMar>
        </w:tblPrEx>
        <w:trPr>
          <w:trHeight w:val="263" w:hRule="atLeast"/>
        </w:trPr>
        <w:tc>
          <w:tcPr>
            <w:tcW w:w="524"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3781" w:type="pct"/>
            <w:gridSpan w:val="2"/>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线路下沉处置已结束</w:t>
            </w:r>
          </w:p>
        </w:tc>
        <w:tc>
          <w:tcPr>
            <w:tcW w:w="304"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100</w:t>
            </w:r>
          </w:p>
        </w:tc>
        <w:tc>
          <w:tcPr>
            <w:tcW w:w="388" w:type="pct"/>
            <w:vAlign w:val="center"/>
          </w:tcPr>
          <w:p>
            <w:pPr>
              <w:widowControl/>
              <w:adjustRightInd/>
              <w:snapToGrid/>
              <w:spacing w:line="240" w:lineRule="auto"/>
              <w:ind w:firstLine="0" w:firstLineChars="0"/>
              <w:jc w:val="left"/>
              <w:rPr>
                <w:rFonts w:ascii="仿宋" w:hAnsi="仿宋" w:cs="仿宋"/>
                <w:kern w:val="0"/>
                <w:sz w:val="21"/>
                <w:szCs w:val="21"/>
              </w:rPr>
            </w:pPr>
          </w:p>
        </w:tc>
      </w:tr>
    </w:tbl>
    <w:p>
      <w:pPr>
        <w:pStyle w:val="2"/>
        <w:ind w:left="0" w:leftChars="0" w:right="2240" w:firstLine="0" w:firstLineChars="0"/>
      </w:pPr>
    </w:p>
    <w:p>
      <w:pPr>
        <w:pStyle w:val="7"/>
        <w:numPr>
          <w:ilvl w:val="0"/>
          <w:numId w:val="0"/>
        </w:numPr>
        <w:spacing w:line="590" w:lineRule="exact"/>
        <w:ind w:firstLine="643" w:firstLineChars="200"/>
        <w:jc w:val="both"/>
        <w:rPr>
          <w:rFonts w:ascii="Times New Roman" w:hAnsi="Times New Roman" w:eastAsia="方正仿宋_GBK" w:cs="Times New Roman"/>
          <w:color w:val="000000" w:themeColor="text1"/>
          <w:szCs w:val="32"/>
          <w14:textFill>
            <w14:solidFill>
              <w14:schemeClr w14:val="tx1"/>
            </w14:solidFill>
          </w14:textFill>
        </w:rPr>
      </w:pPr>
      <w:r>
        <w:rPr>
          <w:rFonts w:ascii="Times New Roman" w:hAnsi="Times New Roman" w:eastAsia="方正仿宋_GBK" w:cs="Times New Roman"/>
          <w:color w:val="000000" w:themeColor="text1"/>
          <w:szCs w:val="32"/>
          <w14:textFill>
            <w14:solidFill>
              <w14:schemeClr w14:val="tx1"/>
            </w14:solidFill>
          </w14:textFill>
        </w:rPr>
        <w:t>内容五：道岔故障应急处置</w:t>
      </w:r>
    </w:p>
    <w:p>
      <w:pPr>
        <w:spacing w:line="590" w:lineRule="exact"/>
        <w:ind w:firstLine="643"/>
        <w:rPr>
          <w:rFonts w:ascii="Times New Roman" w:hAnsi="Times New Roman" w:eastAsia="方正仿宋_GBK" w:cs="Times New Roman"/>
        </w:rPr>
      </w:pPr>
      <w:r>
        <w:rPr>
          <w:b/>
          <w:bCs/>
        </w:rPr>
        <w:t>场景描述：</w:t>
      </w:r>
      <w:r>
        <w:rPr>
          <w:rFonts w:ascii="Times New Roman" w:hAnsi="Times New Roman" w:eastAsia="方正仿宋_GBK" w:cs="Times New Roman"/>
        </w:rPr>
        <w:t>X时X分，XX站下行/上行XX道岔故障，影响行车，OCC组织车站人员下线路钩锁道岔，并通知专业人员对故障道岔进行抢修，行调执行道岔故障应急预案。</w:t>
      </w:r>
    </w:p>
    <w:p>
      <w:pPr>
        <w:spacing w:line="590" w:lineRule="exact"/>
        <w:ind w:firstLine="643"/>
        <w:rPr>
          <w:rFonts w:ascii="Times New Roman" w:hAnsi="Times New Roman" w:eastAsia="方正仿宋_GBK" w:cs="Times New Roman"/>
        </w:rPr>
      </w:pPr>
      <w:r>
        <w:rPr>
          <w:rFonts w:ascii="Times New Roman" w:hAnsi="Times New Roman" w:eastAsia="方正仿宋_GBK" w:cs="Times New Roman"/>
          <w:b/>
          <w:bCs/>
        </w:rPr>
        <w:t>处置流程</w:t>
      </w:r>
      <w:r>
        <w:rPr>
          <w:rFonts w:hint="eastAsia" w:ascii="Times New Roman" w:hAnsi="Times New Roman" w:eastAsia="方正仿宋_GBK" w:cs="Times New Roman"/>
          <w:b/>
          <w:bCs/>
        </w:rPr>
        <w:t>：</w:t>
      </w:r>
      <w:r>
        <w:rPr>
          <w:rFonts w:ascii="Times New Roman" w:hAnsi="Times New Roman" w:eastAsia="方正仿宋_GBK" w:cs="Times New Roman"/>
        </w:rPr>
        <w:t>XX道岔红闪，行调单操两个来回故障未恢复，道岔失表，无定反位，行调组织XX站人员下区间将XX道岔摇至定位/反位，并通知专业人员对故障道岔进行抢修。故障期间，调度员组织XXXX次列车XX站至XX站下行/上行单线双方向运行，XX站至XX站采用小交路运行，维持区段运营。</w:t>
      </w:r>
    </w:p>
    <w:p>
      <w:pPr>
        <w:spacing w:line="590" w:lineRule="exact"/>
        <w:ind w:firstLine="643"/>
        <w:rPr>
          <w:rFonts w:ascii="Times New Roman" w:hAnsi="Times New Roman" w:eastAsia="方正仿宋_GBK" w:cs="Times New Roman"/>
        </w:rPr>
      </w:pPr>
      <w:r>
        <w:rPr>
          <w:rFonts w:ascii="Times New Roman" w:hAnsi="Times New Roman" w:eastAsia="方正仿宋_GBK" w:cs="Times New Roman"/>
          <w:b/>
          <w:bCs/>
        </w:rPr>
        <w:t>完成操作：</w:t>
      </w:r>
      <w:r>
        <w:rPr>
          <w:rFonts w:ascii="Times New Roman" w:hAnsi="Times New Roman" w:eastAsia="方正仿宋_GBK" w:cs="Times New Roman"/>
        </w:rPr>
        <w:t>调度员按照标准处理流程进行道岔故障应急处置，并合理进行行车组织，未完成或执行错误的步骤不得分。</w:t>
      </w:r>
    </w:p>
    <w:tbl>
      <w:tblPr>
        <w:tblStyle w:val="31"/>
        <w:tblW w:w="5000" w:type="pct"/>
        <w:tblInd w:w="0" w:type="dxa"/>
        <w:tblLayout w:type="autofit"/>
        <w:tblCellMar>
          <w:top w:w="0" w:type="dxa"/>
          <w:left w:w="108" w:type="dxa"/>
          <w:bottom w:w="0" w:type="dxa"/>
          <w:right w:w="108" w:type="dxa"/>
        </w:tblCellMar>
      </w:tblPr>
      <w:tblGrid>
        <w:gridCol w:w="697"/>
        <w:gridCol w:w="4808"/>
        <w:gridCol w:w="2947"/>
        <w:gridCol w:w="609"/>
      </w:tblGrid>
      <w:tr>
        <w:tblPrEx>
          <w:tblCellMar>
            <w:top w:w="0" w:type="dxa"/>
            <w:left w:w="108" w:type="dxa"/>
            <w:bottom w:w="0" w:type="dxa"/>
            <w:right w:w="108" w:type="dxa"/>
          </w:tblCellMar>
        </w:tblPrEx>
        <w:trPr>
          <w:trHeight w:val="375" w:hRule="atLeast"/>
        </w:trPr>
        <w:tc>
          <w:tcPr>
            <w:tcW w:w="5000" w:type="pct"/>
            <w:gridSpan w:val="4"/>
            <w:tcBorders>
              <w:top w:val="single" w:color="auto" w:sz="4" w:space="0"/>
              <w:left w:val="single" w:color="auto" w:sz="4" w:space="0"/>
              <w:bottom w:val="single" w:color="auto"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会展中心站道岔故障处置</w:t>
            </w:r>
          </w:p>
        </w:tc>
      </w:tr>
      <w:tr>
        <w:tblPrEx>
          <w:tblCellMar>
            <w:top w:w="0" w:type="dxa"/>
            <w:left w:w="108" w:type="dxa"/>
            <w:bottom w:w="0" w:type="dxa"/>
            <w:right w:w="108" w:type="dxa"/>
          </w:tblCellMar>
        </w:tblPrEx>
        <w:trPr>
          <w:trHeight w:val="2021" w:hRule="atLeast"/>
        </w:trPr>
        <w:tc>
          <w:tcPr>
            <w:tcW w:w="5000" w:type="pct"/>
            <w:gridSpan w:val="4"/>
            <w:tcBorders>
              <w:top w:val="single" w:color="auto" w:sz="4" w:space="0"/>
              <w:left w:val="single" w:color="auto" w:sz="4" w:space="0"/>
              <w:bottom w:val="single" w:color="auto"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场景描述：7:43，会展中心站2#、4#道岔故障，无定反位，1#、3#道岔故障，无定位有反位，采取站前折返和手摇道岔方式组织列车通过道岔故障点。</w:t>
            </w:r>
            <w:r>
              <w:rPr>
                <w:rFonts w:hint="eastAsia" w:ascii="仿宋" w:hAnsi="仿宋" w:cs="仿宋"/>
                <w:kern w:val="0"/>
                <w:sz w:val="21"/>
                <w:szCs w:val="21"/>
              </w:rPr>
              <w:br w:type="textWrapping"/>
            </w:r>
            <w:r>
              <w:rPr>
                <w:rFonts w:hint="eastAsia" w:ascii="仿宋" w:hAnsi="仿宋" w:cs="仿宋"/>
                <w:kern w:val="0"/>
                <w:sz w:val="21"/>
                <w:szCs w:val="21"/>
              </w:rPr>
              <w:t>处置流程：0102/0104号道岔红闪，单操两个来回故障未恢复，道岔失表，无定反位。0101/0103号道岔转换后无定位显示，有反位。行调组织XX站人员下区间将XX道岔摇至定位/反位，利用1#、3#道岔进行站前折返，后经抢修人员处理后，1#、3#道岔有定位，无反位后采取利用手摇2#道岔方式接发列车，最大限度维持终点站折返能力。</w:t>
            </w:r>
          </w:p>
        </w:tc>
      </w:tr>
      <w:tr>
        <w:tblPrEx>
          <w:tblCellMar>
            <w:top w:w="0" w:type="dxa"/>
            <w:left w:w="108" w:type="dxa"/>
            <w:bottom w:w="0" w:type="dxa"/>
            <w:right w:w="108" w:type="dxa"/>
          </w:tblCellMar>
        </w:tblPrEx>
        <w:trPr>
          <w:trHeight w:val="750" w:hRule="atLeast"/>
        </w:trPr>
        <w:tc>
          <w:tcPr>
            <w:tcW w:w="385"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作业程序</w:t>
            </w: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调度员作业内容</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仿真系统</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分数</w:t>
            </w:r>
          </w:p>
        </w:tc>
      </w:tr>
      <w:tr>
        <w:tblPrEx>
          <w:tblCellMar>
            <w:top w:w="0" w:type="dxa"/>
            <w:left w:w="108" w:type="dxa"/>
            <w:bottom w:w="0" w:type="dxa"/>
            <w:right w:w="108" w:type="dxa"/>
          </w:tblCellMar>
        </w:tblPrEx>
        <w:trPr>
          <w:trHeight w:val="750" w:hRule="atLeast"/>
        </w:trPr>
        <w:tc>
          <w:tcPr>
            <w:tcW w:w="385"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场景建立</w:t>
            </w: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生成会展中心站道岔故障场景</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125" w:hRule="atLeast"/>
        </w:trPr>
        <w:tc>
          <w:tcPr>
            <w:tcW w:w="385"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接收故障</w:t>
            </w: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仿真系统：“行调，7点43分，1号道岔、2号道岔、3号道岔、4号道岔失表显示。”</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449"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行调调度电话通知会展中心：“因信号设备故障，自即时起会展中心站收取控制权，对1号道岔、2号道岔、3号道岔、4号道岔进行转换试验，确认故障情况”</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697"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行调调度电话通知会展中心：“并派人至下行站台待令，做好人工办理进路的准备。”</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750"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仿真系统：“会展中心站收到。”</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50" w:hRule="atLeast"/>
        </w:trPr>
        <w:tc>
          <w:tcPr>
            <w:tcW w:w="385"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世纪大道下行扣车</w:t>
            </w: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行调通过ATS终端对世纪大道下行执行扣车</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737"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行调无线电通知世纪大道下行16903次（0101车）：“16903次，世纪大道站下行行调扣车”</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750"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仿真系统：“世纪大道下行行调扣车，司机收到”</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50"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行调调度电话通知世纪大道站：“世纪大道站下行行调扣车”</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750"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仿真系统：“世纪大道下行行调扣车，世纪大道收到”</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875" w:hRule="atLeast"/>
        </w:trPr>
        <w:tc>
          <w:tcPr>
            <w:tcW w:w="385"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确认道岔情况</w:t>
            </w: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仿真系统：“报告行调，2号道岔、4号道岔，处于四开位，无法确认位置。1号道岔、3号道岔只有反位，无定位。”</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569"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行调：“2号道岔、4号道岔，处于四开位，无法确认位置。1号道岔、3号道岔只有反位，无定位。行调收到”。</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750"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行调：“现会展中心站上交控制权”。</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750"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仿真系统：“报告行调，控制权已上交”</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50"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行调ATS终端操作请求中控，收取控制权。</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1125" w:hRule="atLeast"/>
        </w:trPr>
        <w:tc>
          <w:tcPr>
            <w:tcW w:w="385"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折返线列车组织</w:t>
            </w: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仿真系统“行调，会展中心折返线I道16804次换端完毕，目前无推荐速度”。</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50"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行调：“会展中心站2号道岔、4号道岔故障，16804次原地待令”</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375"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行调ATS终端将16804次改为人工车</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732" w:hRule="atLeast"/>
        </w:trPr>
        <w:tc>
          <w:tcPr>
            <w:tcW w:w="385"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站前折返</w:t>
            </w: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行调ATS终端排列X0101-X0120,X0202-X0101进路</w:t>
            </w:r>
            <w:r>
              <w:rPr>
                <w:rFonts w:hint="eastAsia" w:ascii="仿宋" w:hAnsi="仿宋" w:cs="仿宋"/>
                <w:kern w:val="0"/>
                <w:sz w:val="21"/>
                <w:szCs w:val="21"/>
              </w:rPr>
              <w:br w:type="textWrapping"/>
            </w:r>
            <w:r>
              <w:rPr>
                <w:rFonts w:hint="eastAsia" w:ascii="仿宋" w:hAnsi="仿宋" w:cs="仿宋"/>
                <w:kern w:val="0"/>
                <w:sz w:val="21"/>
                <w:szCs w:val="21"/>
              </w:rPr>
              <w:t>（若X0202-X0101进路已触发，不再人工重复排列）</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375"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行调取消世纪大道下行扣车</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540"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行调将会展中心上行出站S0107信号机交人工控。</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1128"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行调无线电通知世纪大道下行16903次：“世纪大道站下行16903次关门动车，会展中心站采用站前折返，做好乘客服务”。</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750"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仿真系统：“16903次司机收到”</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645"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行调调度电话通知会展中心站：“16903次在你站站前折返，做好乘客服务”</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750"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仿真系统：“会展中心站收到”</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375" w:hRule="atLeast"/>
        </w:trPr>
        <w:tc>
          <w:tcPr>
            <w:tcW w:w="385"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组织库内出车</w:t>
            </w: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行调ATS终端排列S0104-S0108进路</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685"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行调调度电话通知会展中心车辆段场调：“场调，现组织一列电客车至会展中心转换轨II道待令”</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992"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仿真系统：“现组织一列电客车至会展中心转换轨II道待令，场调收到”</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125" w:hRule="atLeast"/>
        </w:trPr>
        <w:tc>
          <w:tcPr>
            <w:tcW w:w="385"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专业申请抢修</w:t>
            </w: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仿真系统：“行调，信号专业人员已到达站台，等待命令进入轨行区抢修”</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44"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行调：“行调收到，在站台待令。”</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375"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50" w:hRule="atLeast"/>
        </w:trPr>
        <w:tc>
          <w:tcPr>
            <w:tcW w:w="385"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列车替开</w:t>
            </w: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仿真系统：“16903次到达会展中心上行停妥”</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841"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行调无线电通知16903次：“行调收到，16903次后续改开16804次，现会展中心上行开门待令”</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375"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603"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行调ATS终端将16903次车次改为16804次</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685" w:hRule="atLeast"/>
        </w:trPr>
        <w:tc>
          <w:tcPr>
            <w:tcW w:w="385"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专业抢修</w:t>
            </w: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行调调度电话通知会展中心站：“现行调同意专业人员下轨行区抢修，做好安全防护”</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375"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50" w:hRule="atLeast"/>
        </w:trPr>
        <w:tc>
          <w:tcPr>
            <w:tcW w:w="385"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列车出库</w:t>
            </w: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仿真系统：“行调，列车已在转换轨II道停妥”</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50"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行调：“列车已在转换轨II道停妥，行调收到”</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932"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仿真系统：“0103车在会展中心转换轨II道停妥，当前模式ATP-CBTC”</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549"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行调：“0103车在会展中心转换轨II道停妥，当前模式ATP-CBTC，行调101”</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1054" w:hRule="atLeast"/>
        </w:trPr>
        <w:tc>
          <w:tcPr>
            <w:tcW w:w="385"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晚点信息发布</w:t>
            </w: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行调调度电话通知会展中心至未来路各站，指定未来路站复诵：“下一趟列车预计晚点5分钟，各站做好乘客服务”。</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559"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仿真系统：“车站收到，做好乘客服务”</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505" w:hRule="atLeast"/>
        </w:trPr>
        <w:tc>
          <w:tcPr>
            <w:tcW w:w="385"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抢修结果确认</w:t>
            </w: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仿真系统：“报告行调，2号道岔、4号道岔处于四开位置，无法处理。1号道岔、3号道岔，经抢修人员处理，现有定位，无反位。目前人员工具均已出清。”</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020"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行调：“2号道岔、4号道岔处于四开位置，无法处理，1号道岔、3号道岔，现有定位，无反位，人员工具均已出清，行调收到”</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375" w:hRule="atLeast"/>
        </w:trPr>
        <w:tc>
          <w:tcPr>
            <w:tcW w:w="385"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确认条件出清会展中心上行</w:t>
            </w: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行调ATS终端排列S0107-S0201进路</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750"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行调无线通知16804次：“16804次现关门动车”</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750"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仿真系统：“16804次关门动车，司机收到”</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375" w:hRule="atLeast"/>
        </w:trPr>
        <w:tc>
          <w:tcPr>
            <w:tcW w:w="385"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出库列车替开</w:t>
            </w: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行调ATS终端排列S0116-S0107进路</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375"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行调排列S0108-S0116进路</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375"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行调更改0103车车次为16904次</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1171"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无线电通知转换轨II道列车：“会展中心转换轨II道0103车，现凭推荐速度动车，运行至会展中心上行替开16904次，开关门作业完毕即可动车”</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1272"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仿真系统：“现凭推荐速度动车，运行至会展中心上行替开16904次，开关门作业完毕即可动车，司机收到”</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566"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行调ATS终端操作将S0107信号机交自动控。</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973" w:hRule="atLeast"/>
        </w:trPr>
        <w:tc>
          <w:tcPr>
            <w:tcW w:w="385"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人工办理进路</w:t>
            </w: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待出库列车到达会展中心站上行站台停稳后：</w:t>
            </w:r>
            <w:r>
              <w:rPr>
                <w:rFonts w:hint="eastAsia" w:ascii="仿宋" w:hAnsi="仿宋" w:cs="仿宋"/>
                <w:kern w:val="0"/>
                <w:sz w:val="21"/>
                <w:szCs w:val="21"/>
              </w:rPr>
              <w:br w:type="textWrapping"/>
            </w:r>
            <w:r>
              <w:rPr>
                <w:rFonts w:hint="eastAsia" w:ascii="仿宋" w:hAnsi="仿宋" w:cs="仿宋"/>
                <w:kern w:val="0"/>
                <w:sz w:val="21"/>
                <w:szCs w:val="21"/>
              </w:rPr>
              <w:t>行调调度电话通知会展中心站：“会展中心站现人工办理折返线I道至会展中心上行进路”</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844"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行调：“确认尖轨密贴，钩锁器只挂不锁，人员安全避让后汇报行调，行调101”</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1410"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仿真系统：“行调，折返线I道至会展中心上行进路已办理完毕，4号道岔开通定位，尖轨密贴，钩锁器已加，人员已安全避让。”</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965"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行调：“折返线I道至会展中心站上行进路已办理完毕，4号道岔开通定位，尖轨密贴，钩锁器已加，人员已安全避让。行调收到”</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375" w:hRule="atLeast"/>
        </w:trPr>
        <w:tc>
          <w:tcPr>
            <w:tcW w:w="385"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越红灯</w:t>
            </w: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行调单操8号道岔至定位</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750"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行调变更会展中心折返线I道0102车车次为19104次。</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1264"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行调无线电通知19104次：“命令号101，会展中心折返线I道0102车，确认前方进路安全,以RM模式动车越前方信号机红灯，运行至会展中心站上行开行19104次，行调101。”</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5</w:t>
            </w:r>
          </w:p>
        </w:tc>
      </w:tr>
      <w:tr>
        <w:tblPrEx>
          <w:tblCellMar>
            <w:top w:w="0" w:type="dxa"/>
            <w:left w:w="108" w:type="dxa"/>
            <w:bottom w:w="0" w:type="dxa"/>
            <w:right w:w="108" w:type="dxa"/>
          </w:tblCellMar>
        </w:tblPrEx>
        <w:trPr>
          <w:trHeight w:val="375"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仿真系统：“0102车收到”</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125" w:hRule="atLeast"/>
        </w:trPr>
        <w:tc>
          <w:tcPr>
            <w:tcW w:w="385"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653"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几秒后</w:t>
            </w:r>
            <w:r>
              <w:rPr>
                <w:rFonts w:hint="eastAsia" w:ascii="仿宋" w:hAnsi="仿宋" w:cs="仿宋"/>
                <w:kern w:val="0"/>
                <w:sz w:val="21"/>
                <w:szCs w:val="21"/>
              </w:rPr>
              <w:br w:type="textWrapping"/>
            </w:r>
            <w:r>
              <w:rPr>
                <w:rFonts w:hint="eastAsia" w:ascii="仿宋" w:hAnsi="仿宋" w:cs="仿宋"/>
                <w:kern w:val="0"/>
                <w:sz w:val="21"/>
                <w:szCs w:val="21"/>
              </w:rPr>
              <w:t>仿真系统：“19104次在会展中心上行升级成功”</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50" w:hRule="atLeast"/>
        </w:trPr>
        <w:tc>
          <w:tcPr>
            <w:tcW w:w="385"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办理列车折返进路</w:t>
            </w: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行调ATS终端操作将会展中心下行出站X0118信号机交人工控。</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r>
        <w:tblPrEx>
          <w:tblCellMar>
            <w:top w:w="0" w:type="dxa"/>
            <w:left w:w="108" w:type="dxa"/>
            <w:bottom w:w="0" w:type="dxa"/>
            <w:right w:w="108" w:type="dxa"/>
          </w:tblCellMar>
        </w:tblPrEx>
        <w:trPr>
          <w:trHeight w:val="1230"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行调调度电话通知会展中心站：“会展中心站，现人工办理会展中心下行至会展中心折返线I道进路，确认尖轨密贴”</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428"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行调调度电话通知会展中心站：“4号道岔钩锁在反位，2号道岔只挂不锁，人员安全避让后汇报行调，行调101”</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strike/>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626"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仿真系统：“会展中心站收到”</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683"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几秒后</w:t>
            </w:r>
            <w:r>
              <w:rPr>
                <w:rFonts w:hint="eastAsia" w:ascii="仿宋" w:hAnsi="仿宋" w:cs="仿宋"/>
                <w:kern w:val="0"/>
                <w:sz w:val="21"/>
                <w:szCs w:val="21"/>
              </w:rPr>
              <w:br w:type="textWrapping"/>
            </w:r>
            <w:r>
              <w:rPr>
                <w:rFonts w:hint="eastAsia" w:ascii="仿宋" w:hAnsi="仿宋" w:cs="仿宋"/>
                <w:kern w:val="0"/>
                <w:sz w:val="21"/>
                <w:szCs w:val="21"/>
              </w:rPr>
              <w:t>仿真系统：“行调，会展中心下行至会展中心折返线I道进路人工办理完毕，尖轨密贴，四号道岔开通反位，已钩锁，两号道岔开通反位，只挂不锁，人员已安全避让”</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79"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行调：“会展中心下行至会展中心折返线I道进路人工办理完毕，尖轨密贴”</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762"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行调：“4号道岔开通反位，已钩锁，2号道岔开通反位，只挂不锁，人员已安全避让，行调收到”</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1125" w:hRule="atLeast"/>
        </w:trPr>
        <w:tc>
          <w:tcPr>
            <w:tcW w:w="385"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故障恢复</w:t>
            </w:r>
            <w:r>
              <w:rPr>
                <w:rFonts w:hint="eastAsia" w:ascii="仿宋" w:hAnsi="仿宋" w:cs="仿宋"/>
                <w:kern w:val="0"/>
                <w:sz w:val="21"/>
                <w:szCs w:val="21"/>
              </w:rPr>
              <w:br w:type="textWrapping"/>
            </w:r>
            <w:r>
              <w:rPr>
                <w:rFonts w:hint="eastAsia" w:ascii="仿宋" w:hAnsi="仿宋" w:cs="仿宋"/>
                <w:kern w:val="0"/>
                <w:sz w:val="21"/>
                <w:szCs w:val="21"/>
              </w:rPr>
              <w:t>拆除钩锁器</w:t>
            </w: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仿真系统：“报告行调，1号道岔、2号道岔、3号道岔、4号道岔故障均已恢复”</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200"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行调调度电话通知会展中心站：“因1号道岔、2号道岔、3号道岔、4号道岔故障恢复，现下轨行区拆除2号道岔、4号道岔钩锁器，人员工具出清后汇报行调”</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509"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126" w:hRule="atLeast"/>
        </w:trPr>
        <w:tc>
          <w:tcPr>
            <w:tcW w:w="385"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几秒后</w:t>
            </w:r>
            <w:r>
              <w:rPr>
                <w:rFonts w:hint="eastAsia" w:ascii="仿宋" w:hAnsi="仿宋" w:cs="仿宋"/>
                <w:kern w:val="0"/>
                <w:sz w:val="21"/>
                <w:szCs w:val="21"/>
              </w:rPr>
              <w:br w:type="textWrapping"/>
            </w:r>
            <w:r>
              <w:rPr>
                <w:rFonts w:hint="eastAsia" w:ascii="仿宋" w:hAnsi="仿宋" w:cs="仿宋"/>
                <w:kern w:val="0"/>
                <w:sz w:val="21"/>
                <w:szCs w:val="21"/>
              </w:rPr>
              <w:t>仿真系统：“报告行调，2号道岔、4号道岔钩锁器已拆除，人员工具均已出清”</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50" w:hRule="atLeast"/>
        </w:trPr>
        <w:tc>
          <w:tcPr>
            <w:tcW w:w="385"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试验道岔</w:t>
            </w: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行调：“行调收到，会展中心站现收取控制权，试验道岔功能”</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673"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仿真系统：“试验道岔功能，会展中心站收到”</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980"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几秒后</w:t>
            </w:r>
            <w:r>
              <w:rPr>
                <w:rFonts w:hint="eastAsia" w:ascii="仿宋" w:hAnsi="仿宋" w:cs="仿宋"/>
                <w:kern w:val="0"/>
                <w:sz w:val="21"/>
                <w:szCs w:val="21"/>
              </w:rPr>
              <w:br w:type="textWrapping"/>
            </w:r>
            <w:r>
              <w:rPr>
                <w:rFonts w:hint="eastAsia" w:ascii="仿宋" w:hAnsi="仿宋" w:cs="仿宋"/>
                <w:kern w:val="0"/>
                <w:sz w:val="21"/>
                <w:szCs w:val="21"/>
              </w:rPr>
              <w:t>仿真系统：“报告行调，会展中心站经试验道岔功能良好”</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375"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行调：“收到，现上交控制权”</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447"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仿真系统：“收到，控制权已上交”</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527"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行调ATS终端操作请求中控，收取控制权。</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56" w:hRule="atLeast"/>
        </w:trPr>
        <w:tc>
          <w:tcPr>
            <w:tcW w:w="385"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53"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行调ATS终端操作将X0118信号机交自动控。</w:t>
            </w:r>
          </w:p>
        </w:tc>
        <w:tc>
          <w:tcPr>
            <w:tcW w:w="1626"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3</w:t>
            </w:r>
          </w:p>
        </w:tc>
      </w:tr>
    </w:tbl>
    <w:p>
      <w:pPr>
        <w:pStyle w:val="2"/>
        <w:ind w:left="0" w:leftChars="0" w:right="2240" w:firstLine="0" w:firstLineChars="0"/>
      </w:pPr>
    </w:p>
    <w:p>
      <w:pPr>
        <w:pStyle w:val="7"/>
        <w:numPr>
          <w:ilvl w:val="0"/>
          <w:numId w:val="0"/>
        </w:numPr>
        <w:spacing w:line="590" w:lineRule="exact"/>
        <w:ind w:firstLine="643" w:firstLineChars="200"/>
        <w:jc w:val="both"/>
        <w:rPr>
          <w:rFonts w:ascii="Times New Roman" w:hAnsi="Times New Roman" w:eastAsia="方正仿宋_GBK" w:cs="Times New Roman"/>
          <w:color w:val="000000" w:themeColor="text1"/>
          <w:szCs w:val="32"/>
          <w14:textFill>
            <w14:solidFill>
              <w14:schemeClr w14:val="tx1"/>
            </w14:solidFill>
          </w14:textFill>
        </w:rPr>
      </w:pPr>
      <w:r>
        <w:rPr>
          <w:rFonts w:ascii="Times New Roman" w:hAnsi="Times New Roman" w:eastAsia="方正仿宋_GBK" w:cs="Times New Roman"/>
          <w:color w:val="000000" w:themeColor="text1"/>
          <w:szCs w:val="32"/>
          <w14:textFill>
            <w14:solidFill>
              <w14:schemeClr w14:val="tx1"/>
            </w14:solidFill>
          </w14:textFill>
        </w:rPr>
        <w:t>内容</w:t>
      </w:r>
      <w:r>
        <w:t>六</w:t>
      </w:r>
      <w:r>
        <w:rPr>
          <w:rFonts w:ascii="Times New Roman" w:hAnsi="Times New Roman" w:eastAsia="方正仿宋_GBK" w:cs="Times New Roman"/>
          <w:color w:val="000000" w:themeColor="text1"/>
          <w:szCs w:val="32"/>
          <w14:textFill>
            <w14:solidFill>
              <w14:schemeClr w14:val="tx1"/>
            </w14:solidFill>
          </w14:textFill>
        </w:rPr>
        <w:t>：弓网故障应急处置</w:t>
      </w:r>
    </w:p>
    <w:p>
      <w:pPr>
        <w:spacing w:line="590" w:lineRule="exact"/>
        <w:ind w:firstLine="643"/>
        <w:rPr>
          <w:rFonts w:ascii="Times New Roman" w:hAnsi="Times New Roman" w:eastAsia="方正仿宋_GBK" w:cs="Times New Roman"/>
        </w:rPr>
      </w:pPr>
      <w:r>
        <w:rPr>
          <w:rFonts w:ascii="Times New Roman" w:hAnsi="Times New Roman" w:eastAsia="方正仿宋_GBK" w:cs="Times New Roman"/>
          <w:b/>
          <w:bCs/>
        </w:rPr>
        <w:t>场景</w:t>
      </w:r>
      <w:r>
        <w:rPr>
          <w:b/>
          <w:bCs/>
        </w:rPr>
        <w:t>描述</w:t>
      </w:r>
      <w:r>
        <w:rPr>
          <w:rFonts w:ascii="Times New Roman" w:hAnsi="Times New Roman" w:eastAsia="方正仿宋_GBK" w:cs="Times New Roman"/>
          <w:b/>
          <w:bCs/>
        </w:rPr>
        <w:t>：</w:t>
      </w:r>
      <w:r>
        <w:rPr>
          <w:rFonts w:ascii="Times New Roman" w:hAnsi="Times New Roman" w:eastAsia="方正仿宋_GBK" w:cs="Times New Roman"/>
        </w:rPr>
        <w:t>X时X分，XX供电分区接触网失压，故障区域内列车能维持进站，行调执行弓网故障应急处置程序。</w:t>
      </w:r>
    </w:p>
    <w:p>
      <w:pPr>
        <w:spacing w:line="590" w:lineRule="exact"/>
        <w:ind w:firstLine="643"/>
        <w:rPr>
          <w:rFonts w:ascii="Times New Roman" w:hAnsi="Times New Roman" w:eastAsia="方正仿宋_GBK" w:cs="Times New Roman"/>
        </w:rPr>
      </w:pPr>
      <w:r>
        <w:rPr>
          <w:rFonts w:ascii="Times New Roman" w:hAnsi="Times New Roman" w:eastAsia="方正仿宋_GBK" w:cs="Times New Roman"/>
          <w:b/>
          <w:bCs/>
        </w:rPr>
        <w:t>处置流程</w:t>
      </w:r>
      <w:r>
        <w:rPr>
          <w:rFonts w:hint="eastAsia" w:ascii="Times New Roman" w:hAnsi="Times New Roman" w:eastAsia="方正仿宋_GBK" w:cs="Times New Roman"/>
          <w:b/>
          <w:bCs/>
        </w:rPr>
        <w:t>：</w:t>
      </w:r>
      <w:r>
        <w:rPr>
          <w:rFonts w:ascii="Times New Roman" w:hAnsi="Times New Roman" w:eastAsia="方正仿宋_GBK" w:cs="Times New Roman"/>
        </w:rPr>
        <w:t>XX供电分区接触网失压，行调扣停后续即将进入故障区域的列车，指令故障区域列车维持进站开门降弓，同时通知相应车站确认站台区接触网是否有异常，指令故障区域外进行相应行车调整，XXXX次列车XX站至XX站下行/上行单线双方向运行，XX站至XX站采用小交路运行，组织不受影响区段列车维持运营。</w:t>
      </w:r>
    </w:p>
    <w:p>
      <w:pPr>
        <w:spacing w:line="590" w:lineRule="exact"/>
        <w:ind w:firstLine="640"/>
        <w:rPr>
          <w:rFonts w:ascii="Times New Roman" w:hAnsi="Times New Roman" w:eastAsia="方正仿宋_GBK" w:cs="Times New Roman"/>
        </w:rPr>
      </w:pPr>
      <w:r>
        <w:rPr>
          <w:rFonts w:ascii="Times New Roman" w:hAnsi="Times New Roman" w:eastAsia="方正仿宋_GBK" w:cs="Times New Roman"/>
        </w:rPr>
        <w:t>完成操作：调度员按照标准处理流程进行弓网故障应急处置</w:t>
      </w:r>
      <w:r>
        <w:rPr>
          <w:rFonts w:ascii="Times New Roman" w:hAnsi="Times New Roman" w:eastAsia="方正仿宋_GBK" w:cs="Times New Roman"/>
          <w:sz w:val="28"/>
          <w:szCs w:val="28"/>
        </w:rPr>
        <w:t>，并合理进行行车组织</w:t>
      </w:r>
      <w:r>
        <w:rPr>
          <w:rFonts w:ascii="Times New Roman" w:hAnsi="Times New Roman" w:eastAsia="方正仿宋_GBK" w:cs="Times New Roman"/>
        </w:rPr>
        <w:t>，未完成或执行错误的步骤不得分。</w:t>
      </w:r>
    </w:p>
    <w:tbl>
      <w:tblPr>
        <w:tblStyle w:val="31"/>
        <w:tblW w:w="5000" w:type="pct"/>
        <w:tblInd w:w="0" w:type="dxa"/>
        <w:tblLayout w:type="autofit"/>
        <w:tblCellMar>
          <w:top w:w="0" w:type="dxa"/>
          <w:left w:w="108" w:type="dxa"/>
          <w:bottom w:w="0" w:type="dxa"/>
          <w:right w:w="108" w:type="dxa"/>
        </w:tblCellMar>
      </w:tblPr>
      <w:tblGrid>
        <w:gridCol w:w="1056"/>
        <w:gridCol w:w="4454"/>
        <w:gridCol w:w="3124"/>
        <w:gridCol w:w="427"/>
      </w:tblGrid>
      <w:tr>
        <w:tblPrEx>
          <w:tblCellMar>
            <w:top w:w="0" w:type="dxa"/>
            <w:left w:w="108" w:type="dxa"/>
            <w:bottom w:w="0" w:type="dxa"/>
            <w:right w:w="108" w:type="dxa"/>
          </w:tblCellMar>
        </w:tblPrEx>
        <w:trPr>
          <w:trHeight w:val="615" w:hRule="atLeast"/>
        </w:trPr>
        <w:tc>
          <w:tcPr>
            <w:tcW w:w="5000" w:type="pct"/>
            <w:gridSpan w:val="4"/>
            <w:tcBorders>
              <w:top w:val="single" w:color="auto" w:sz="4" w:space="0"/>
              <w:left w:val="single" w:color="auto" w:sz="4" w:space="0"/>
              <w:bottom w:val="single" w:color="auto"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b/>
                <w:bCs/>
                <w:kern w:val="0"/>
                <w:sz w:val="21"/>
                <w:szCs w:val="21"/>
              </w:rPr>
            </w:pPr>
            <w:r>
              <w:rPr>
                <w:rFonts w:hint="eastAsia" w:ascii="仿宋" w:hAnsi="仿宋" w:cs="仿宋"/>
                <w:b/>
                <w:bCs/>
                <w:kern w:val="0"/>
                <w:sz w:val="21"/>
                <w:szCs w:val="21"/>
              </w:rPr>
              <w:t>B2供电分区弓网故障处置</w:t>
            </w:r>
          </w:p>
        </w:tc>
      </w:tr>
      <w:tr>
        <w:tblPrEx>
          <w:tblCellMar>
            <w:top w:w="0" w:type="dxa"/>
            <w:left w:w="108" w:type="dxa"/>
            <w:bottom w:w="0" w:type="dxa"/>
            <w:right w:w="108" w:type="dxa"/>
          </w:tblCellMar>
        </w:tblPrEx>
        <w:trPr>
          <w:trHeight w:val="840" w:hRule="atLeast"/>
        </w:trPr>
        <w:tc>
          <w:tcPr>
            <w:tcW w:w="397"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作业程序</w:t>
            </w: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调度员作业内容</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仿真系统</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分数</w:t>
            </w:r>
          </w:p>
        </w:tc>
      </w:tr>
      <w:tr>
        <w:tblPrEx>
          <w:tblCellMar>
            <w:top w:w="0" w:type="dxa"/>
            <w:left w:w="108" w:type="dxa"/>
            <w:bottom w:w="0" w:type="dxa"/>
            <w:right w:w="108" w:type="dxa"/>
          </w:tblCellMar>
        </w:tblPrEx>
        <w:trPr>
          <w:trHeight w:val="1218" w:hRule="atLeast"/>
        </w:trPr>
        <w:tc>
          <w:tcPr>
            <w:tcW w:w="397" w:type="pc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汇报故障</w:t>
            </w: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仿真系统：“行调，10906次发现K1+600米处接触网上悬挂一根线缆，判断为侵限，列车已在异物点前停车”</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669" w:hRule="atLeast"/>
        </w:trPr>
        <w:tc>
          <w:tcPr>
            <w:tcW w:w="397"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换弓通过</w:t>
            </w: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行调：“10906次是否可以采取换弓方式通过”</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1002"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仿真系统：“可以采用换弓方式通过”</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923"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行调：“10906次采用换弓方式通过异物点，通过后限速25运行至世纪大道站上行恢复双弓运行，行调101”</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540"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仿真系统：“采用换弓方式通过，10906次收到”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942" w:hRule="atLeast"/>
        </w:trPr>
        <w:tc>
          <w:tcPr>
            <w:tcW w:w="397"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异物点卡控</w:t>
            </w: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行调：“世纪大道站，派人至上行尾端小站台确认10906次列车弓网配合是否正常、有无异物缠绕”</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582"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569"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行调无线电呼叫会展中心上行11006次：“11006次，会展中心站至世纪大道站上行区间公里标K1+600米处接触网悬挂异物”</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1110"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行调：“11006次会展中心站上行降前弓，采用换弓方式通过异物点，世纪大道站上行恢复双弓运行，行调101。”</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702"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78" w:hRule="atLeast"/>
        </w:trPr>
        <w:tc>
          <w:tcPr>
            <w:tcW w:w="397"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汇报</w:t>
            </w: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仿真系统：“行调，10906次世纪大道上行进站时无异物缠绕”</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421"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行调：“世纪大道站继续观察后续列车。”</w:t>
            </w:r>
          </w:p>
        </w:tc>
        <w:tc>
          <w:tcPr>
            <w:tcW w:w="1800"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825" w:hRule="atLeast"/>
        </w:trPr>
        <w:tc>
          <w:tcPr>
            <w:tcW w:w="397"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第一次失电</w:t>
            </w: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仿真系统：“行调，B2供电分区失电，自动重合闸成功”</w:t>
            </w:r>
          </w:p>
        </w:tc>
        <w:tc>
          <w:tcPr>
            <w:tcW w:w="267"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62"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行调：“B2分区失电，自动重合闸成功，后续加强关注。”</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799"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仿真系统：“行调，会展中心上行11006次显示网压瞬间为0后恢复”</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974" w:hRule="atLeast"/>
        </w:trPr>
        <w:tc>
          <w:tcPr>
            <w:tcW w:w="397"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初期调整</w:t>
            </w: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行调：“11006次会展中心上行至世纪大道上行限速25运行，比照时刻表早发2分钟，加强列车状态及线路观察，有异常及时汇报。”</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266"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15"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行调：“10806次，未来路至人民广场每站多停1分钟”</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352"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10"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行调：“10706次，体育中心至火车站每站多停30秒”</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423"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826"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行调调度电话呼叫世纪大道至未来路各站：“行调呼叫世纪大道至未来路各站，请未来路站复诵”</w:t>
            </w:r>
          </w:p>
        </w:tc>
        <w:tc>
          <w:tcPr>
            <w:tcW w:w="1800"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457"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仿真系统：“未来路站收到”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642"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行调：“10906次预计晚点5分钟，做好乘客服务，行调101”</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822"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660"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行调操作ATS终端，将X0118信号机交人工控</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56" w:hRule="atLeast"/>
        </w:trPr>
        <w:tc>
          <w:tcPr>
            <w:tcW w:w="397"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试送电准备</w:t>
            </w: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仿真系统：“行调，B2供电分区失电，自动重合闸不成功”</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660"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行调：“B2分区失电，自动重合闸不成功，做好试送电准备。”</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859"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仿真系统：“行调，10906次世纪大道上行出站一半网压为零，司机已停车”</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strike/>
                <w:kern w:val="0"/>
                <w:sz w:val="21"/>
                <w:szCs w:val="21"/>
              </w:rPr>
              <w:t>　</w:t>
            </w:r>
          </w:p>
        </w:tc>
      </w:tr>
      <w:tr>
        <w:tblPrEx>
          <w:tblCellMar>
            <w:top w:w="0" w:type="dxa"/>
            <w:left w:w="108" w:type="dxa"/>
            <w:bottom w:w="0" w:type="dxa"/>
            <w:right w:w="108" w:type="dxa"/>
          </w:tblCellMar>
        </w:tblPrEx>
        <w:trPr>
          <w:trHeight w:val="762"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行调：“10906次，现降双弓配合电调试送电，做好乘客服务”</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660"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660"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行调：“11006次，现降双弓配合电调试送电，做好乘客服务”</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660"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03" w:hRule="atLeast"/>
        </w:trPr>
        <w:tc>
          <w:tcPr>
            <w:tcW w:w="397"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行调操作ATS终端，将X0414信号机交人工控。（若X0414-X0301进路已触发，取消该进路）</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556"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行调操作ATS终端，将X0406信号机交人工控。</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564" w:hRule="atLeast"/>
        </w:trPr>
        <w:tc>
          <w:tcPr>
            <w:tcW w:w="397"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组织列车回库</w:t>
            </w: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行调操作ATS终端，将11105次列车设置为人工车</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765"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行调操作ATS终端，排列X0112-JC1、X0118-X0112进路。</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765"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行调操作ATS终端，将中心医院X0502信号机交人工控。</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765"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行调：“11105次会展中心下行清客完毕后回会展中心停车场”</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452"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65"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行调调度电话通知会展中心停车场场调：“11105次稍后转换轨I道回库”</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459"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17"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行调操作ATS终端，排列X0112-JC1、X0118-X0112进路，组织16905次回库。</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1124" w:hRule="atLeast"/>
        </w:trPr>
        <w:tc>
          <w:tcPr>
            <w:tcW w:w="397"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弥补上行间隔</w:t>
            </w: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行调：“因B2分区失电，19105次在市图书馆下行清客，进路变更为市图书馆站下行至市图书馆站存车线I道至市图书馆站上行，往火车东站方向投入载客服务，做好乘客服务”</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575"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56"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行调：“市图书馆站，19105次在你站下行清客，清客完毕经市图书馆存车线I道折返至上行，往火车东站方向投入载客服务，做好乘客服务”</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144"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679"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行调操作ATS终端，排列X0414-X0406进路</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452"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仿真系统：“19105次已清客完毕”</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531"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行调：“19105次凭推荐速度动车折返”</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695"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行调操作ATS终端，变更19105次目的地码，车次为19106254次。</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563" w:hRule="atLeast"/>
        </w:trPr>
        <w:tc>
          <w:tcPr>
            <w:tcW w:w="397"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排查故障</w:t>
            </w: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仿真系统：“行调，11006次双弓已降下。”</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487"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行调：“收到，原地待令”</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565"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right"/>
              <w:rPr>
                <w:rFonts w:ascii="仿宋" w:hAnsi="仿宋" w:cs="仿宋"/>
                <w:kern w:val="0"/>
                <w:sz w:val="21"/>
                <w:szCs w:val="21"/>
              </w:rPr>
            </w:pP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仿真系统：“行调，10906次双弓已降下”</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489"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行调：“收到，原地待令”</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709"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行调：“电调，故障区域列车已全部降弓完毕，现可以对B2供电分区试送电，行调101”</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859"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仿真系统：“行调，B2分区试送电成功，满足升弓条件”</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675"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行调：“10906次现升后弓，确认列车车辆状态。”</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557"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仿真系统：“10906次后弓已升起，列车车辆状态正常”</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02"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行调：“11006次现升后弓，确认列车车辆状态。”</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491"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仿真系统：“11006次后弓已升起，列车车辆状态正常”</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854" w:hRule="atLeast"/>
        </w:trPr>
        <w:tc>
          <w:tcPr>
            <w:tcW w:w="397" w:type="pct"/>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清客</w:t>
            </w: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行调：“10906次，限速25运行至交通大学上行，加强列车状态及线路观察，有异常及时汇报”</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1002"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仿真系统：“行调，10906次刚动车，列车网压为零，目前世纪大道上行出站一半。”</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20"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行调：“10906次，现通过解锁车门的方式清客”</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297"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仿真系统：“10906次收到”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827"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行调：“世纪大道，通过解锁站台门的方式配合10906清客，清客完毕汇报行调”</w:t>
            </w:r>
          </w:p>
        </w:tc>
        <w:tc>
          <w:tcPr>
            <w:tcW w:w="1800"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919"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428"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仿真系统：“行调，B2分区失电，自动重合闸不成功，专业已到达世纪大道站”</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484"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行调：“收到”</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547"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行调：“11006次，会展中心上行清客”</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427"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831"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行调：“会展中心站，11006次在会展中心上行清客，做好乘客服务，行调101”</w:t>
            </w:r>
          </w:p>
        </w:tc>
        <w:tc>
          <w:tcPr>
            <w:tcW w:w="1800"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642"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52" w:hRule="atLeast"/>
        </w:trPr>
        <w:tc>
          <w:tcPr>
            <w:tcW w:w="397" w:type="pct"/>
            <w:vMerge w:val="restart"/>
            <w:tcBorders>
              <w:top w:val="nil"/>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交路组织</w:t>
            </w: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行调向全线司机发布全线令：“行调呼叫全线各次列车司机，请19106次司机复诵”</w:t>
            </w:r>
          </w:p>
        </w:tc>
        <w:tc>
          <w:tcPr>
            <w:tcW w:w="1800"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565"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仿真系统：“19106次收到”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984"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行调向全线司机发布全线令：“自发令时起，全线运行交路变更为火车东站至市图书馆站小交路运行，市图书馆站采用存车线I道折返。”</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1127"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行调向全线司机发布全线令：“会展中心站至市图书馆站下行正线单线双向运行，指定11205次担任单线双向运行列车，行调101。”</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406"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39"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行调向全线车站发布全线令：“行调呼叫全线各站，请市图书馆站复诵”</w:t>
            </w:r>
          </w:p>
        </w:tc>
        <w:tc>
          <w:tcPr>
            <w:tcW w:w="1800"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522"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仿真系统：“市图书馆站收到”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841"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行调向全线车站发布全线令：“自发令时起，全线运行交路变更为火车东站至市图书馆站小交路运行，市图书馆站采用存车线I道折返。”</w:t>
            </w:r>
          </w:p>
        </w:tc>
        <w:tc>
          <w:tcPr>
            <w:tcW w:w="1800"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740"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行调向全线车站发布全线令：“会展中心站至市图书馆站下行正线单线双向运行，指定11205次担任单线双向运行列车，行调101。”</w:t>
            </w:r>
          </w:p>
        </w:tc>
        <w:tc>
          <w:tcPr>
            <w:tcW w:w="1800"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371"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595" w:hRule="atLeast"/>
        </w:trPr>
        <w:tc>
          <w:tcPr>
            <w:tcW w:w="397" w:type="pct"/>
            <w:vMerge w:val="restart"/>
            <w:tcBorders>
              <w:top w:val="nil"/>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清客完毕</w:t>
            </w: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仿真系统：“行调，会展中心站上行已清客完毕”</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679"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行调：“收到，会展中心站做好乘客服务”</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509"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仿真系统：“行调，世纪大道站上行已清客完毕”</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433"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行调：“收到，世纪大道站做好乘客服务”</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56"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行调：“11006次现降后弓，原地待令”</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56"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44"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行调：“10906次现降后弓，原地待令”</w:t>
            </w:r>
          </w:p>
        </w:tc>
        <w:tc>
          <w:tcPr>
            <w:tcW w:w="1800"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720"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99" w:hRule="atLeast"/>
        </w:trPr>
        <w:tc>
          <w:tcPr>
            <w:tcW w:w="397" w:type="pct"/>
            <w:vMerge w:val="restart"/>
            <w:tcBorders>
              <w:top w:val="nil"/>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抢修</w:t>
            </w: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仿真系统：“行调，专业人员申请从世纪大道上行下轨行区排查并处理”</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427"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行调：“行调同意，做好安全防护，严禁侵入下行正线”</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351"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697"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仿真系统：“行调，专业人员判断为接触网定位器故障，申请B2分区挂地线处理”</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469"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行调：“行调同意，做好防护”</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419" w:hRule="atLeast"/>
        </w:trPr>
        <w:tc>
          <w:tcPr>
            <w:tcW w:w="397" w:type="pct"/>
            <w:vMerge w:val="restart"/>
            <w:tcBorders>
              <w:top w:val="nil"/>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交路组织</w:t>
            </w: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行调操作ATS终端，排列S0105-S0402进路。</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836"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行调：“11205次会展中心换端完毕，RM模式动车出站，反向运行至交通大学下行待令”</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410"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699"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行调通知会展中心至市图书馆各站：“配合11205次开关门作业。”</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619"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39"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行调操作ATS终端，依次排列X0414-X0406、X0502-0414进路。</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762"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行调：“11305次现凭推荐速度动车，进市图书馆存车线I道折返”</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799"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仿真系统：“11305次收到”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600"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行调操作ATS终端，变更11305次目的地码，车次为11306254次。</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690"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行调操作ATS终端，依次排列X0414-X0406、X0502-0414进路。</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780"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行调：“11405次现凭推荐速度动车，进市图书馆存车线I道折返”</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822"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仿真系统：“11405次收到”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020" w:hRule="atLeast"/>
        </w:trPr>
        <w:tc>
          <w:tcPr>
            <w:tcW w:w="397" w:type="pct"/>
            <w:vMerge w:val="restart"/>
            <w:tcBorders>
              <w:top w:val="nil"/>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故障恢复</w:t>
            </w: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仿真系统：“行调，专业人员已处理完毕，地线已拆除，人员工器具已出清”</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919"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行调：“电调，专业人员已处理完毕，具备试送电条件”</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640"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仿真系统：“行调，试送电成功，具备列车升弓条件”</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p>
        </w:tc>
      </w:tr>
      <w:tr>
        <w:tblPrEx>
          <w:tblCellMar>
            <w:top w:w="0" w:type="dxa"/>
            <w:left w:w="108" w:type="dxa"/>
            <w:bottom w:w="0" w:type="dxa"/>
            <w:right w:w="108" w:type="dxa"/>
          </w:tblCellMar>
        </w:tblPrEx>
        <w:trPr>
          <w:trHeight w:val="720"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行调：“11006次现升后弓，确认列车车辆状态”</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859"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仿真系统：“11006次后弓已升起，列车车辆状态正常”</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99"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行调：“10906次现升后弓，确认列车车辆状态”</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840"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仿真系统：“10906次后弓已升起，列车车辆状态正常”</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978" w:hRule="atLeast"/>
        </w:trPr>
        <w:tc>
          <w:tcPr>
            <w:tcW w:w="397" w:type="pct"/>
            <w:tcBorders>
              <w:top w:val="nil"/>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行调无线调度台呼叫交通大学下行11205次司机：“11205次恢复ATC，交通大学下行清客换端，换端完毕往会展中心方向投入载客服务”</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319" w:hRule="atLeast"/>
        </w:trPr>
        <w:tc>
          <w:tcPr>
            <w:tcW w:w="397" w:type="pct"/>
            <w:tcBorders>
              <w:top w:val="nil"/>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900" w:hRule="atLeast"/>
        </w:trPr>
        <w:tc>
          <w:tcPr>
            <w:tcW w:w="397" w:type="pct"/>
            <w:tcBorders>
              <w:top w:val="nil"/>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行调ATS终端对下行G17A、G19A、G01B区段依次执行区故解</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919" w:hRule="atLeast"/>
        </w:trPr>
        <w:tc>
          <w:tcPr>
            <w:tcW w:w="397" w:type="pct"/>
            <w:tcBorders>
              <w:top w:val="nil"/>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行调向全线司机发布全线令：“行调呼叫全线各次列车司机，请会展中心上行11006次司机复诵”</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358" w:hRule="atLeast"/>
        </w:trPr>
        <w:tc>
          <w:tcPr>
            <w:tcW w:w="397" w:type="pct"/>
            <w:tcBorders>
              <w:top w:val="nil"/>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仿真系统：“11006次收到”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979" w:hRule="atLeast"/>
        </w:trPr>
        <w:tc>
          <w:tcPr>
            <w:tcW w:w="397" w:type="pct"/>
            <w:vMerge w:val="restart"/>
            <w:tcBorders>
              <w:top w:val="nil"/>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恢复行车</w:t>
            </w: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行调向全线司机发布全线令：“自发令时起，全线运行交路恢复为火车东站至会展中心站正常交路，行调101。”</w:t>
            </w:r>
          </w:p>
        </w:tc>
        <w:tc>
          <w:tcPr>
            <w:tcW w:w="1800"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419"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62"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行调向全线车站发布全线令：“行调呼叫全线各站，请市图书馆站复诵。”</w:t>
            </w:r>
          </w:p>
        </w:tc>
        <w:tc>
          <w:tcPr>
            <w:tcW w:w="1800" w:type="pct"/>
            <w:tcBorders>
              <w:top w:val="nil"/>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351"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仿真系统：“市图书馆站收到”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122"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行调向全线车站发布全线令：“自发令时起，全线运行交路恢复为火车东站至会展中心站正常交路，行调101。”</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289"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319"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行调操作ATS终端，将X0118信号机交自动控。</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319"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行调操作ATS终端，将X0414信号机交自动控。</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319" w:hRule="atLeast"/>
        </w:trPr>
        <w:tc>
          <w:tcPr>
            <w:tcW w:w="397" w:type="pct"/>
            <w:vMerge w:val="continue"/>
            <w:tcBorders>
              <w:top w:val="nil"/>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行调操作ATS终端，将X0502信号机交自动控。</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319" w:hRule="atLeast"/>
        </w:trPr>
        <w:tc>
          <w:tcPr>
            <w:tcW w:w="397" w:type="pct"/>
            <w:tcBorders>
              <w:top w:val="nil"/>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行调操作ATS终端，将X0406信号机交自动控。</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482" w:hRule="atLeast"/>
        </w:trPr>
        <w:tc>
          <w:tcPr>
            <w:tcW w:w="397" w:type="pct"/>
            <w:tcBorders>
              <w:top w:val="nil"/>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534"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800"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仿真系统：“弓网故障处置已结束”</w:t>
            </w:r>
          </w:p>
        </w:tc>
        <w:tc>
          <w:tcPr>
            <w:tcW w:w="267" w:type="pct"/>
            <w:tcBorders>
              <w:top w:val="nil"/>
              <w:left w:val="nil"/>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bl>
    <w:p>
      <w:pPr>
        <w:pStyle w:val="2"/>
        <w:ind w:left="0" w:leftChars="0" w:right="2240" w:firstLine="0" w:firstLineChars="0"/>
      </w:pPr>
    </w:p>
    <w:p>
      <w:pPr>
        <w:pStyle w:val="7"/>
        <w:numPr>
          <w:ilvl w:val="0"/>
          <w:numId w:val="0"/>
        </w:numPr>
        <w:spacing w:line="590" w:lineRule="exact"/>
        <w:ind w:firstLine="643" w:firstLineChars="200"/>
        <w:jc w:val="both"/>
        <w:rPr>
          <w:rFonts w:ascii="Times New Roman" w:hAnsi="Times New Roman" w:eastAsia="方正仿宋_GBK" w:cs="Times New Roman"/>
          <w:color w:val="000000" w:themeColor="text1"/>
          <w:szCs w:val="32"/>
          <w14:textFill>
            <w14:solidFill>
              <w14:schemeClr w14:val="tx1"/>
            </w14:solidFill>
          </w14:textFill>
        </w:rPr>
      </w:pPr>
      <w:r>
        <w:rPr>
          <w:rFonts w:ascii="Times New Roman" w:hAnsi="Times New Roman" w:eastAsia="方正仿宋_GBK" w:cs="Times New Roman"/>
          <w:color w:val="000000" w:themeColor="text1"/>
          <w:szCs w:val="32"/>
          <w14:textFill>
            <w14:solidFill>
              <w14:schemeClr w14:val="tx1"/>
            </w14:solidFill>
          </w14:textFill>
        </w:rPr>
        <w:t>内容</w:t>
      </w:r>
      <w:r>
        <w:t>七</w:t>
      </w:r>
      <w:r>
        <w:rPr>
          <w:rFonts w:ascii="Times New Roman" w:hAnsi="Times New Roman" w:eastAsia="方正仿宋_GBK" w:cs="Times New Roman"/>
          <w:color w:val="000000" w:themeColor="text1"/>
          <w:szCs w:val="32"/>
          <w14:textFill>
            <w14:solidFill>
              <w14:schemeClr w14:val="tx1"/>
            </w14:solidFill>
          </w14:textFill>
        </w:rPr>
        <w:t>：列车故障救援处置</w:t>
      </w:r>
    </w:p>
    <w:p>
      <w:pPr>
        <w:spacing w:line="590" w:lineRule="exact"/>
        <w:ind w:firstLine="643"/>
        <w:rPr>
          <w:rFonts w:ascii="Times New Roman" w:hAnsi="Times New Roman" w:eastAsia="方正仿宋_GBK" w:cs="Times New Roman"/>
        </w:rPr>
      </w:pPr>
      <w:r>
        <w:rPr>
          <w:rFonts w:ascii="Times New Roman" w:hAnsi="Times New Roman" w:eastAsia="方正仿宋_GBK" w:cs="Times New Roman"/>
          <w:b/>
          <w:bCs/>
        </w:rPr>
        <w:t>场景</w:t>
      </w:r>
      <w:r>
        <w:rPr>
          <w:b/>
          <w:bCs/>
        </w:rPr>
        <w:t>描述</w:t>
      </w:r>
      <w:r>
        <w:rPr>
          <w:rFonts w:ascii="Times New Roman" w:hAnsi="Times New Roman" w:eastAsia="方正仿宋_GBK" w:cs="Times New Roman"/>
          <w:b/>
          <w:bCs/>
        </w:rPr>
        <w:t>：</w:t>
      </w:r>
      <w:r>
        <w:rPr>
          <w:rFonts w:ascii="Times New Roman" w:hAnsi="Times New Roman" w:eastAsia="方正仿宋_GBK" w:cs="Times New Roman"/>
        </w:rPr>
        <w:t>XXXX次因车辆故障申请救援，采取后续列车救援的方式，将列车推进运行回车辆段。</w:t>
      </w:r>
    </w:p>
    <w:p>
      <w:pPr>
        <w:spacing w:line="590" w:lineRule="exact"/>
        <w:ind w:firstLine="643"/>
        <w:rPr>
          <w:rFonts w:ascii="Times New Roman" w:hAnsi="Times New Roman" w:eastAsia="方正仿宋_GBK" w:cs="Times New Roman"/>
        </w:rPr>
      </w:pPr>
      <w:r>
        <w:rPr>
          <w:rFonts w:ascii="Times New Roman" w:hAnsi="Times New Roman" w:eastAsia="方正仿宋_GBK" w:cs="Times New Roman"/>
          <w:b/>
          <w:bCs/>
        </w:rPr>
        <w:t>处置流程：</w:t>
      </w:r>
      <w:r>
        <w:rPr>
          <w:rFonts w:ascii="Times New Roman" w:hAnsi="Times New Roman" w:eastAsia="方正仿宋_GBK" w:cs="Times New Roman"/>
        </w:rPr>
        <w:t>1101次因车辆故障在XX站至XX站上行/下行区间迫停，由1201次就近清客担当救援任务，推进故障车运行至前方站进行清客，后开行60101次运行回车辆段。救援期间，组织后续列车在XX站折返，维持区段运营。</w:t>
      </w:r>
    </w:p>
    <w:p>
      <w:pPr>
        <w:spacing w:line="590" w:lineRule="exact"/>
        <w:ind w:firstLine="643"/>
        <w:rPr>
          <w:rFonts w:ascii="Times New Roman" w:hAnsi="Times New Roman" w:eastAsia="方正仿宋_GBK" w:cs="Times New Roman"/>
        </w:rPr>
      </w:pPr>
      <w:r>
        <w:rPr>
          <w:rFonts w:ascii="Times New Roman" w:hAnsi="Times New Roman" w:eastAsia="方正仿宋_GBK" w:cs="Times New Roman"/>
          <w:b/>
          <w:bCs/>
        </w:rPr>
        <w:t>完成操作：</w:t>
      </w:r>
      <w:r>
        <w:rPr>
          <w:rFonts w:ascii="Times New Roman" w:hAnsi="Times New Roman" w:eastAsia="方正仿宋_GBK" w:cs="Times New Roman"/>
        </w:rPr>
        <w:t>调度员按照标准处理流程进行列车救援应急处置，完成救援工作流程及命令的发布、相关设备操作，并合理进行行车组织，未完成或执行错误的步骤不得分。</w:t>
      </w:r>
    </w:p>
    <w:tbl>
      <w:tblPr>
        <w:tblStyle w:val="3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58"/>
        <w:gridCol w:w="4659"/>
        <w:gridCol w:w="3208"/>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trPr>
        <w:tc>
          <w:tcPr>
            <w:tcW w:w="5000" w:type="pct"/>
            <w:gridSpan w:val="4"/>
            <w:shd w:val="clear" w:color="auto" w:fill="auto"/>
            <w:vAlign w:val="center"/>
          </w:tcPr>
          <w:p>
            <w:pPr>
              <w:widowControl/>
              <w:adjustRightInd/>
              <w:snapToGrid/>
              <w:spacing w:line="240" w:lineRule="auto"/>
              <w:ind w:firstLine="0" w:firstLineChars="0"/>
              <w:jc w:val="center"/>
              <w:rPr>
                <w:rFonts w:ascii="仿宋" w:hAnsi="仿宋" w:cs="仿宋"/>
                <w:b/>
                <w:bCs/>
                <w:kern w:val="0"/>
                <w:sz w:val="21"/>
                <w:szCs w:val="21"/>
              </w:rPr>
            </w:pPr>
            <w:r>
              <w:rPr>
                <w:rFonts w:hint="eastAsia" w:ascii="仿宋" w:hAnsi="仿宋" w:cs="仿宋"/>
                <w:b/>
                <w:bCs/>
                <w:kern w:val="0"/>
                <w:sz w:val="21"/>
                <w:szCs w:val="21"/>
              </w:rPr>
              <w:t>11205次列车故障救援应急处置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5000" w:type="pct"/>
            <w:gridSpan w:val="4"/>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场景描述：9:22分，动物园站下行11205次出站一半列车产生紧制，处理无效申请救援。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334"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作业程序</w:t>
            </w:r>
          </w:p>
        </w:tc>
        <w:tc>
          <w:tcPr>
            <w:tcW w:w="2597"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作业内容</w:t>
            </w:r>
          </w:p>
        </w:tc>
        <w:tc>
          <w:tcPr>
            <w:tcW w:w="1796"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仿真系统</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分数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0" w:hRule="atLeast"/>
        </w:trPr>
        <w:tc>
          <w:tcPr>
            <w:tcW w:w="334"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场景建立</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9:22分，动物园站下行11205次出站一半列车产生紧制，处理无效申请救援</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0" w:hRule="atLeast"/>
        </w:trPr>
        <w:tc>
          <w:tcPr>
            <w:tcW w:w="334" w:type="pct"/>
            <w:vMerge w:val="restar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故障汇报</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仿真系统：“行调，动物园站下行11205出站一半列车产生紧制，DDU显示4个牵引逆变器显红，列车推牵引无位移。”</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行调：“司机抓紧时间按规定进行处理并做好乘客服务，将手持台打至三方通话组，行调101。”</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行调将CCTV打至动物园站下行，确认现场情况。</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2"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行调呼叫检调：“动物园站下行11205，4个牵引逆变器显红，列车推牵引无位移，将手持台打至三方通话组协助司机进行故障处理，行调101”</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trPr>
        <w:tc>
          <w:tcPr>
            <w:tcW w:w="334" w:type="pct"/>
            <w:vMerge w:val="restar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清客准备</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行调调度电话通知车动物园站：“下行11205次列车故障，做好解锁站台门清客的准备，行调101”</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仿真系统：“动物园站收到，人员已在站台待令”</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vMerge w:val="restar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扣车</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行调在ATS系统终端操作对迎宾路站下行执行扣车</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行调调度电话通知迎宾路站：“迎宾路站下行行调扣车，行调101”</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仿真系统：“下行行调扣车，迎宾路站收到”</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行调无线电通知19105次：“19105次，迎宾路站下行行调扣车，行调101”</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仿真系统：“下行行调扣车，19105次收到”</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trPr>
        <w:tc>
          <w:tcPr>
            <w:tcW w:w="334" w:type="pct"/>
            <w:vMerge w:val="restar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初期行车调整</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行调无线电通知11305次：“11305次大学路站至人民公园站下行限速30运行，每站多停1分钟，行调101”</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仿真系统：“收到，已按命令限速多停”</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行调无线电通知11405次：“11405次奥体中心至大学路下行限速30运行，每站多停30秒，行调101”</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仿真系统：“收到，已按命令限速多停”</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vMerge w:val="restar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清客救援准备</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仿真系统：“行调，11205次故障处理无效，申请救援”</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0"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行调无线电回复11205次司机：“11205次现通过解锁站台对应车门的方式进行清客，做好迎宾路站方向来车救援的准备，清客完毕汇报行调，行调101”</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仿真系统：“11205次清客，做好救援准备，收到”</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行调调度电话通知车动物园站：“下行11205次列车故障，现解锁站台门配合司机清客，准备救援，做好乘客服务，行调101”</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仿真系统：“11205次清客，准备救援，收到”</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行调无线电通知19105次：“命令号201，19105次，迎宾路站下行清客后改开901次，救援动物园站下行11205次，行调101。”</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仿真系统：“19105次收到”</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trPr>
        <w:tc>
          <w:tcPr>
            <w:tcW w:w="334" w:type="pct"/>
            <w:vMerge w:val="restar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救援命令</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行调调度电话通知迎宾路站：“19105次在你站下行清客，救援动物园站下行11205次，做好乘客服务”</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仿真系统：“迎宾路站收到”</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仿真系统：“11205次、19105次清客完毕”</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行调ATS终端操作取消迎宾路站下行扣车</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行调将11205次改为人工车。</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行调ATS终端将19105次车次改为90101093次</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行调无线电通知901次：“901次，连挂好后，推进至体育中心站存车线I道解钩，行调101。”</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仿真系统：“连挂好后，推进至体育中心站存车线I道解钩，901次收到”</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0" w:hRule="atLeast"/>
        </w:trPr>
        <w:tc>
          <w:tcPr>
            <w:tcW w:w="334" w:type="pct"/>
            <w:vMerge w:val="restar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初期行车调整</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行调无线电通知人民广场上行10506次：“10506次人民广场上行清客，清客完毕经体育中心折返线II道运行至体育中心下行改开11205次，往会展中心方向投入载客服务”</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行调调度电话通知人民广场站：“10506次人民广场上行清客，做好乘客服务”</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0"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行调调度电话通知体育中心站：“10506次人民广场上行清客，清客完毕经体育中心折返线II道运行至体育中心下行改开11205次，往会展中心方向投入载客服务”</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行调ATS系统终端排列S0904-S0912进路</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行调ATS系统终端排列S0912-S0901进路</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待10506到达体育中心下行站台后</w:t>
            </w:r>
            <w:r>
              <w:rPr>
                <w:rFonts w:hint="eastAsia" w:ascii="仿宋" w:hAnsi="仿宋" w:cs="仿宋"/>
                <w:kern w:val="0"/>
                <w:sz w:val="21"/>
                <w:szCs w:val="21"/>
              </w:rPr>
              <w:br w:type="textWrapping"/>
            </w:r>
            <w:r>
              <w:rPr>
                <w:rFonts w:hint="eastAsia" w:ascii="仿宋" w:hAnsi="仿宋" w:cs="仿宋"/>
                <w:kern w:val="0"/>
                <w:sz w:val="21"/>
                <w:szCs w:val="21"/>
              </w:rPr>
              <w:t>行调操作ATS终端，将10506车次更改为11205</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行调无线电通知16905次：“16905次体育中心站至植物园站下行限速30运行，每站多停30秒，行调101”</w:t>
            </w:r>
          </w:p>
        </w:tc>
        <w:tc>
          <w:tcPr>
            <w:tcW w:w="1796" w:type="pct"/>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仿真系统：“16905次收到”</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行调无线电通知11105次：“11105次植物园站至中心医院站下行限速45运行，每站多停30秒，行调101”</w:t>
            </w:r>
          </w:p>
        </w:tc>
        <w:tc>
          <w:tcPr>
            <w:tcW w:w="1796" w:type="pct"/>
            <w:shd w:val="clear" w:color="auto" w:fill="auto"/>
            <w:noWrap/>
            <w:vAlign w:val="bottom"/>
          </w:tcPr>
          <w:p>
            <w:pPr>
              <w:widowControl/>
              <w:adjustRightInd/>
              <w:snapToGrid/>
              <w:spacing w:line="240" w:lineRule="auto"/>
              <w:ind w:firstLine="0" w:firstLineChars="0"/>
              <w:jc w:val="left"/>
              <w:rPr>
                <w:rFonts w:ascii="仿宋" w:hAnsi="仿宋" w:cs="仿宋"/>
                <w:kern w:val="0"/>
                <w:sz w:val="21"/>
                <w:szCs w:val="21"/>
              </w:rPr>
            </w:pP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noWrap/>
            <w:vAlign w:val="bottom"/>
          </w:tcPr>
          <w:p>
            <w:pPr>
              <w:widowControl/>
              <w:adjustRightInd/>
              <w:snapToGrid/>
              <w:spacing w:line="240" w:lineRule="auto"/>
              <w:ind w:firstLine="0" w:firstLineChars="0"/>
              <w:jc w:val="center"/>
              <w:rPr>
                <w:rFonts w:ascii="仿宋" w:hAnsi="仿宋" w:cs="仿宋"/>
                <w:kern w:val="0"/>
                <w:sz w:val="21"/>
                <w:szCs w:val="21"/>
              </w:rPr>
            </w:pP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仿真系统：“11105次收到”</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行调无线电通知168005次：“16805次中心医院站至世纪大道站下行限速60运行，每站多停30秒，行调101”</w:t>
            </w:r>
          </w:p>
        </w:tc>
        <w:tc>
          <w:tcPr>
            <w:tcW w:w="1796" w:type="pct"/>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仿真系统：“16805次收到”</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行调无线电通知11205次：“11205次体育中心站至未来路站下行限速30运行，每站多停30秒，行调101”</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仿真系统：“11205次收到”</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vMerge w:val="restar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中期行车调整</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行调ATS操作将体育中心下行出站X0914信号机交人工控</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行调ATS操作将会展中心折返线I道X0112信号机交人工控</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行调无线电通知16805次：“16805次列车取消回库，会展中心折返后改开11106次”</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行调调度电话通知会展中心场调：“场调，后续回库列车暂时取消回库”</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行调无线电通知11105次：“11105次会展中心折返后改开11206次”</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strike/>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行调无线电通知16905次：“16905次列车取消回库，会展中心折返后改开11306次”</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行调及时发布指令，根据列车位置进行中期行车调整：</w:t>
            </w:r>
            <w:r>
              <w:rPr>
                <w:rFonts w:hint="eastAsia" w:ascii="仿宋" w:hAnsi="仿宋" w:cs="仿宋"/>
                <w:kern w:val="0"/>
                <w:sz w:val="21"/>
                <w:szCs w:val="21"/>
              </w:rPr>
              <w:br w:type="textWrapping"/>
            </w:r>
            <w:r>
              <w:rPr>
                <w:rFonts w:hint="eastAsia" w:ascii="仿宋" w:hAnsi="仿宋" w:cs="仿宋"/>
                <w:kern w:val="0"/>
                <w:sz w:val="21"/>
                <w:szCs w:val="21"/>
              </w:rPr>
              <w:t>1、下行列车从世纪大道下行开出后通知司机改开指令；</w:t>
            </w:r>
            <w:r>
              <w:rPr>
                <w:rFonts w:hint="eastAsia" w:ascii="仿宋" w:hAnsi="仿宋" w:cs="仿宋"/>
                <w:kern w:val="0"/>
                <w:sz w:val="21"/>
                <w:szCs w:val="21"/>
              </w:rPr>
              <w:br w:type="textWrapping"/>
            </w:r>
            <w:r>
              <w:rPr>
                <w:rFonts w:hint="eastAsia" w:ascii="仿宋" w:hAnsi="仿宋" w:cs="仿宋"/>
                <w:kern w:val="0"/>
                <w:sz w:val="21"/>
                <w:szCs w:val="21"/>
              </w:rPr>
              <w:t>2、待列车在会展中心折返后，行调ATS操作更改列车车次，目的码为254</w:t>
            </w:r>
            <w:r>
              <w:rPr>
                <w:rFonts w:hint="eastAsia" w:ascii="仿宋" w:hAnsi="仿宋" w:cs="仿宋"/>
                <w:kern w:val="0"/>
                <w:sz w:val="21"/>
                <w:szCs w:val="21"/>
              </w:rPr>
              <w:br w:type="textWrapping"/>
            </w:r>
            <w:r>
              <w:rPr>
                <w:rFonts w:hint="eastAsia" w:ascii="仿宋" w:hAnsi="仿宋" w:cs="仿宋"/>
                <w:kern w:val="0"/>
                <w:sz w:val="21"/>
                <w:szCs w:val="21"/>
              </w:rPr>
              <w:t>若未及时发布指令或未及时操作，导致列车在S0114信号机前停留超过3分钟，每列扣5分，最多扣5分。</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vMerge w:val="restar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救援编组动车</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仿真系统：“行调，901次连挂完毕，具备动车条件。”</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0"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行调无线电回复901次救援编组司机：“901次连挂完毕，具备动车条件，救援编组至客运中心下行进路准备完毕，凭地面信号动车，行调101。”</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strike/>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trPr>
        <w:tc>
          <w:tcPr>
            <w:tcW w:w="334" w:type="pct"/>
            <w:vMerge w:val="continue"/>
            <w:vAlign w:val="center"/>
          </w:tcPr>
          <w:p>
            <w:pPr>
              <w:widowControl/>
              <w:adjustRightInd/>
              <w:snapToGrid/>
              <w:spacing w:line="240" w:lineRule="auto"/>
              <w:ind w:firstLine="0" w:firstLineChars="0"/>
              <w:jc w:val="left"/>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仿真系统：“救援编组至客运中心下行进路准备完毕，凭地面信号动车，司机收到”</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334" w:type="pct"/>
            <w:vMerge w:val="restart"/>
            <w:shd w:val="clear" w:color="auto" w:fill="auto"/>
            <w:vAlign w:val="center"/>
          </w:tcPr>
          <w:p>
            <w:pPr>
              <w:spacing w:line="240" w:lineRule="auto"/>
              <w:ind w:firstLine="0" w:firstLineChars="0"/>
              <w:rPr>
                <w:rFonts w:ascii="仿宋" w:hAnsi="仿宋" w:cs="仿宋"/>
                <w:kern w:val="0"/>
                <w:sz w:val="21"/>
                <w:szCs w:val="21"/>
              </w:rPr>
            </w:pPr>
            <w:r>
              <w:rPr>
                <w:rFonts w:hint="eastAsia" w:ascii="仿宋" w:hAnsi="仿宋" w:cs="仿宋"/>
                <w:kern w:val="0"/>
                <w:sz w:val="21"/>
                <w:szCs w:val="21"/>
              </w:rPr>
              <w:t>进路准备　</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行调ATS系统终端排列X0914-X0906进路</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334" w:type="pct"/>
            <w:vMerge w:val="continue"/>
            <w:shd w:val="clear" w:color="auto" w:fill="auto"/>
            <w:vAlign w:val="center"/>
          </w:tcPr>
          <w:p>
            <w:pPr>
              <w:spacing w:line="240" w:lineRule="auto"/>
              <w:ind w:firstLine="420"/>
              <w:jc w:val="center"/>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行调将0918道岔单锁在反位</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trPr>
        <w:tc>
          <w:tcPr>
            <w:tcW w:w="334" w:type="pct"/>
            <w:vMerge w:val="continue"/>
            <w:shd w:val="clear" w:color="auto" w:fill="auto"/>
            <w:vAlign w:val="center"/>
          </w:tcPr>
          <w:p>
            <w:pPr>
              <w:spacing w:line="240" w:lineRule="auto"/>
              <w:ind w:firstLine="420"/>
              <w:jc w:val="center"/>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行调无线电通知901次：“客运中心站下行至体育中心站下行至体育中心存车线I道进路准备完毕”</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strike/>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trPr>
        <w:tc>
          <w:tcPr>
            <w:tcW w:w="334" w:type="pct"/>
            <w:vMerge w:val="continue"/>
            <w:shd w:val="clear" w:color="auto" w:fill="auto"/>
            <w:vAlign w:val="center"/>
          </w:tcPr>
          <w:p>
            <w:pPr>
              <w:spacing w:line="240" w:lineRule="auto"/>
              <w:ind w:firstLine="420"/>
              <w:jc w:val="center"/>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行调：“现凭地面信号动车，运行至体育中心存车线I道解钩，解钩后退行至体育中心站下行投入载客服务，行调101”</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trPr>
        <w:tc>
          <w:tcPr>
            <w:tcW w:w="334" w:type="pct"/>
            <w:vMerge w:val="continue"/>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仿真系统：“901次司机收到，解钩后退行至体育中心站下行投入载客服务”</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5" w:hRule="atLeast"/>
        </w:trPr>
        <w:tc>
          <w:tcPr>
            <w:tcW w:w="334"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待救援编组出清客运中心站，行调ATS系统终端操作客运中心站下行扣车</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行调ATS操作将客运中心下行出站X1002信号机交人工控</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行调调度电话通知客运中心站：“客运中心站下行行调扣车，行调101”</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仿真系统：“客运中心站下行行调扣车”</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0" w:hRule="atLeast"/>
        </w:trPr>
        <w:tc>
          <w:tcPr>
            <w:tcW w:w="334"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仿真系统：“行调，901次已在体育中心存车线I道解钩完毕，正准备退回体育中心下行投入载客服务”</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行调无线电通知901次：“901次以EUM模式退回体育中心下行投入载客服务”</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行调调度电话通知体育中心站：“901次EUM模式退回你站下行，做好乘客服务及接车工作”</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trPr>
        <w:tc>
          <w:tcPr>
            <w:tcW w:w="334"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仿真系统：“901次EUM模式退回我站下行，做好乘客服务及接车工作”</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仿真系统：“行调，901次已在体育中心下行站台停妥”</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行调无线电通知：“901次现恢复ATC，后续开行19105次，站台作业完毕即可动车”</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仿真系统：“901次开行19105次，现已恢复ATC动车”</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行调ATS系统终端操作将X0914信号机交自动控，</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334"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行调单解0918道岔，</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334"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行调ATS终端将901次车次改为计划车19105014</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P0918道岔区段遗留白光带，行调ATS终端对体育中心站下行G15C区段执行区故解</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334"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行调ATS系统终端操作取消客运中心站下行扣车</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行调ATS操作将客运中心下行出站X1002信号机交自动控</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34"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行调ATS操作将会展中心折返线I道X0112信号机交自动控</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334" w:type="pct"/>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2597"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796" w:type="pct"/>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仿真系统：“救援工作结束”</w:t>
            </w:r>
          </w:p>
        </w:tc>
        <w:tc>
          <w:tcPr>
            <w:tcW w:w="271" w:type="pct"/>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100</w:t>
            </w:r>
          </w:p>
        </w:tc>
      </w:tr>
    </w:tbl>
    <w:p>
      <w:pPr>
        <w:pStyle w:val="2"/>
        <w:ind w:left="0" w:leftChars="0" w:right="2240" w:firstLine="0" w:firstLineChars="0"/>
      </w:pPr>
    </w:p>
    <w:p>
      <w:pPr>
        <w:pStyle w:val="7"/>
        <w:numPr>
          <w:ilvl w:val="0"/>
          <w:numId w:val="0"/>
        </w:numPr>
        <w:spacing w:line="590" w:lineRule="exact"/>
        <w:ind w:firstLine="643" w:firstLineChars="200"/>
        <w:jc w:val="both"/>
        <w:rPr>
          <w:rFonts w:ascii="Times New Roman" w:hAnsi="Times New Roman" w:eastAsia="方正仿宋_GBK" w:cs="Times New Roman"/>
          <w:color w:val="000000" w:themeColor="text1"/>
          <w:szCs w:val="32"/>
          <w14:textFill>
            <w14:solidFill>
              <w14:schemeClr w14:val="tx1"/>
            </w14:solidFill>
          </w14:textFill>
        </w:rPr>
      </w:pPr>
      <w:r>
        <w:rPr>
          <w:rFonts w:ascii="Times New Roman" w:hAnsi="Times New Roman" w:eastAsia="方正仿宋_GBK" w:cs="Times New Roman"/>
          <w:color w:val="000000" w:themeColor="text1"/>
          <w:szCs w:val="32"/>
          <w14:textFill>
            <w14:solidFill>
              <w14:schemeClr w14:val="tx1"/>
            </w14:solidFill>
          </w14:textFill>
        </w:rPr>
        <w:t>内容</w:t>
      </w:r>
      <w:r>
        <w:t>八</w:t>
      </w:r>
      <w:r>
        <w:rPr>
          <w:rFonts w:ascii="Times New Roman" w:hAnsi="Times New Roman" w:eastAsia="方正仿宋_GBK" w:cs="Times New Roman"/>
          <w:color w:val="000000" w:themeColor="text1"/>
          <w:szCs w:val="32"/>
          <w14:textFill>
            <w14:solidFill>
              <w14:schemeClr w14:val="tx1"/>
            </w14:solidFill>
          </w14:textFill>
        </w:rPr>
        <w:t>：区间水淹应急处置</w:t>
      </w:r>
    </w:p>
    <w:p>
      <w:pPr>
        <w:spacing w:line="590" w:lineRule="exact"/>
        <w:ind w:firstLine="643"/>
        <w:rPr>
          <w:rFonts w:ascii="Times New Roman" w:hAnsi="Times New Roman" w:eastAsia="方正仿宋_GBK" w:cs="Times New Roman"/>
        </w:rPr>
      </w:pPr>
      <w:r>
        <w:rPr>
          <w:rFonts w:ascii="Times New Roman" w:hAnsi="Times New Roman" w:eastAsia="方正仿宋_GBK" w:cs="Times New Roman"/>
          <w:b/>
          <w:bCs/>
        </w:rPr>
        <w:t>场景</w:t>
      </w:r>
      <w:r>
        <w:rPr>
          <w:b/>
          <w:bCs/>
        </w:rPr>
        <w:t>描述</w:t>
      </w:r>
      <w:r>
        <w:rPr>
          <w:rFonts w:ascii="Times New Roman" w:hAnsi="Times New Roman" w:eastAsia="方正仿宋_GBK" w:cs="Times New Roman"/>
          <w:b/>
          <w:bCs/>
        </w:rPr>
        <w:t>：</w:t>
      </w:r>
      <w:r>
        <w:rPr>
          <w:rFonts w:ascii="Times New Roman" w:hAnsi="Times New Roman" w:eastAsia="方正仿宋_GBK" w:cs="Times New Roman"/>
        </w:rPr>
        <w:t>区间积水漫过轨面导致列车停在积水区段无法动车，进行区间疏散。</w:t>
      </w:r>
    </w:p>
    <w:p>
      <w:pPr>
        <w:spacing w:line="590" w:lineRule="exact"/>
        <w:ind w:firstLine="643"/>
        <w:rPr>
          <w:rFonts w:ascii="Times New Roman" w:hAnsi="Times New Roman" w:eastAsia="方正仿宋_GBK" w:cs="Times New Roman"/>
        </w:rPr>
      </w:pPr>
      <w:r>
        <w:rPr>
          <w:rFonts w:ascii="Times New Roman" w:hAnsi="Times New Roman" w:eastAsia="方正仿宋_GBK" w:cs="Times New Roman"/>
          <w:b/>
          <w:bCs/>
        </w:rPr>
        <w:t>处置流程：</w:t>
      </w:r>
      <w:r>
        <w:rPr>
          <w:rFonts w:ascii="Times New Roman" w:hAnsi="Times New Roman" w:eastAsia="方正仿宋_GBK" w:cs="Times New Roman"/>
          <w:szCs w:val="32"/>
        </w:rPr>
        <w:t>XXXX次运行至A站至B站下行区间公里标XX处发现区间积水，积水长度10m，未淹过扣件，行调组织列车瞭望通过。后一趟列车经过该处时发现积水已漫过轨面，列车停在积水区段并产生紧制无法动车，行调组织该列车区间疏散，疏散方向为A站方向。故障期间，组织后续XXXX次列车XX站至XX站下行/上行单线双方向运行，XX站至XX站采用小交路运行，维持区段运营。</w:t>
      </w:r>
    </w:p>
    <w:p>
      <w:pPr>
        <w:pStyle w:val="2"/>
        <w:spacing w:after="0" w:line="590" w:lineRule="exact"/>
        <w:ind w:left="0" w:leftChars="0" w:right="0" w:rightChars="0" w:firstLine="643"/>
        <w:rPr>
          <w:rFonts w:ascii="Times New Roman" w:hAnsi="Times New Roman" w:eastAsia="方正仿宋_GBK" w:cs="Times New Roman"/>
        </w:rPr>
      </w:pPr>
      <w:r>
        <w:rPr>
          <w:rFonts w:ascii="Times New Roman" w:hAnsi="Times New Roman" w:eastAsia="方正仿宋_GBK" w:cs="Times New Roman"/>
          <w:b/>
          <w:bCs/>
        </w:rPr>
        <w:t>完成操作：</w:t>
      </w:r>
      <w:r>
        <w:rPr>
          <w:rFonts w:ascii="Times New Roman" w:hAnsi="Times New Roman" w:eastAsia="方正仿宋_GBK" w:cs="Times New Roman"/>
        </w:rPr>
        <w:t>调度员按照标准处理流程进行区间水淹及疏散应急处置，完成区间淹水及疏散流程及命令的发布、相关设备操作，并合理进行行车组织，未完成或执行错误的步骤不得分。</w:t>
      </w:r>
    </w:p>
    <w:tbl>
      <w:tblPr>
        <w:tblStyle w:val="31"/>
        <w:tblW w:w="5000" w:type="pct"/>
        <w:tblInd w:w="0" w:type="dxa"/>
        <w:tblLayout w:type="autofit"/>
        <w:tblCellMar>
          <w:top w:w="0" w:type="dxa"/>
          <w:left w:w="108" w:type="dxa"/>
          <w:bottom w:w="0" w:type="dxa"/>
          <w:right w:w="108" w:type="dxa"/>
        </w:tblCellMar>
      </w:tblPr>
      <w:tblGrid>
        <w:gridCol w:w="756"/>
        <w:gridCol w:w="4844"/>
        <w:gridCol w:w="2863"/>
        <w:gridCol w:w="598"/>
      </w:tblGrid>
      <w:tr>
        <w:tblPrEx>
          <w:tblCellMar>
            <w:top w:w="0" w:type="dxa"/>
            <w:left w:w="108" w:type="dxa"/>
            <w:bottom w:w="0" w:type="dxa"/>
            <w:right w:w="108" w:type="dxa"/>
          </w:tblCellMar>
        </w:tblPrEx>
        <w:trPr>
          <w:trHeight w:val="319" w:hRule="atLeast"/>
        </w:trPr>
        <w:tc>
          <w:tcPr>
            <w:tcW w:w="5000" w:type="pct"/>
            <w:gridSpan w:val="4"/>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b/>
                <w:bCs/>
                <w:kern w:val="0"/>
                <w:sz w:val="21"/>
                <w:szCs w:val="21"/>
              </w:rPr>
            </w:pPr>
            <w:r>
              <w:rPr>
                <w:rFonts w:hint="eastAsia" w:ascii="仿宋" w:hAnsi="仿宋" w:cs="仿宋"/>
                <w:b/>
                <w:bCs/>
                <w:kern w:val="0"/>
                <w:sz w:val="21"/>
                <w:szCs w:val="21"/>
              </w:rPr>
              <w:t>绿城广场至动物园上行区间水淹应急处置</w:t>
            </w:r>
          </w:p>
        </w:tc>
      </w:tr>
      <w:tr>
        <w:tblPrEx>
          <w:tblCellMar>
            <w:top w:w="0" w:type="dxa"/>
            <w:left w:w="108" w:type="dxa"/>
            <w:bottom w:w="0" w:type="dxa"/>
            <w:right w:w="108" w:type="dxa"/>
          </w:tblCellMar>
        </w:tblPrEx>
        <w:trPr>
          <w:trHeight w:val="619" w:hRule="atLeast"/>
        </w:trPr>
        <w:tc>
          <w:tcPr>
            <w:tcW w:w="417" w:type="pct"/>
            <w:tcBorders>
              <w:top w:val="nil"/>
              <w:left w:val="single" w:color="000000" w:sz="4" w:space="0"/>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作业程序</w:t>
            </w: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调度员作业内容</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仿真系统</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分数</w:t>
            </w:r>
          </w:p>
        </w:tc>
      </w:tr>
      <w:tr>
        <w:tblPrEx>
          <w:tblCellMar>
            <w:top w:w="0" w:type="dxa"/>
            <w:left w:w="108" w:type="dxa"/>
            <w:bottom w:w="0" w:type="dxa"/>
            <w:right w:w="108" w:type="dxa"/>
          </w:tblCellMar>
        </w:tblPrEx>
        <w:trPr>
          <w:trHeight w:val="1166" w:hRule="atLeast"/>
        </w:trPr>
        <w:tc>
          <w:tcPr>
            <w:tcW w:w="417" w:type="pct"/>
            <w:vMerge w:val="restart"/>
            <w:tcBorders>
              <w:top w:val="nil"/>
              <w:left w:val="single" w:color="000000" w:sz="4" w:space="0"/>
              <w:bottom w:val="single" w:color="000000" w:sz="4" w:space="0"/>
              <w:right w:val="nil"/>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故障接报</w:t>
            </w: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仿真系统：“9:10，绿城广场至动物园上行区间19006次，发现K18米处有积水，长度大约20米，未淹过扣件”</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900"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行调无线调度台联系19006次：“是否发现持续性水源”</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660"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仿真系统：“未发现持续性水源”</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20"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行调无线调度台回复：“加强列车状态及线路观察，有异常及时汇报”</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565"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267" w:hRule="atLeast"/>
        </w:trPr>
        <w:tc>
          <w:tcPr>
            <w:tcW w:w="417" w:type="pct"/>
            <w:vMerge w:val="restart"/>
            <w:tcBorders>
              <w:top w:val="nil"/>
              <w:left w:val="single" w:color="000000" w:sz="4" w:space="0"/>
              <w:bottom w:val="single" w:color="000000" w:sz="4" w:space="0"/>
              <w:right w:val="nil"/>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前期观察</w:t>
            </w: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行调调度电话通知绿城广场站：“绿城广场站，19006次报绿城广场至动物园上行公里标K18米处有积水，派人添乘10104次，将现场情况拍照留存”</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563"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659"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行调调度电话通知检调：“因绿城广场至动物园上行区间有积水，派人至动物园站上行，确认每一趟列车车辆状态，有异常及时汇报。”</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739"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11"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行调调度电话通知动物园站：“动物园站，因绿城广场至动物园上行区间有积水，观察后续涉水列车运行状态，有异常及时汇报”</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484"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972"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行调无线调度台联系10104次：“10104次，前次列车报,绿城广场至动物园上行公里标K18米处有积水，长度大约20米，未淹过扣件”</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992"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行调无线调度台联系10104次：“你次列车经过时加强瞭望，有异常及时汇报，绿城广场上行有车站人员添乘，做好配合。”</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406"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08" w:hRule="atLeast"/>
        </w:trPr>
        <w:tc>
          <w:tcPr>
            <w:tcW w:w="417" w:type="pct"/>
            <w:vMerge w:val="restart"/>
            <w:tcBorders>
              <w:top w:val="nil"/>
              <w:left w:val="single" w:color="000000" w:sz="4" w:space="0"/>
              <w:bottom w:val="single" w:color="000000" w:sz="4" w:space="0"/>
              <w:right w:val="nil"/>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结果确认</w:t>
            </w: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仿真系统：“行调，19006次列车运行状态正常”</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20"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行调无线调度台联系19006次：“19006次列车运行状态正常，行调收到”</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919" w:hRule="atLeast"/>
        </w:trPr>
        <w:tc>
          <w:tcPr>
            <w:tcW w:w="417" w:type="pct"/>
            <w:vMerge w:val="restart"/>
            <w:tcBorders>
              <w:top w:val="nil"/>
              <w:left w:val="single" w:color="000000" w:sz="4" w:space="0"/>
              <w:bottom w:val="single" w:color="000000" w:sz="4" w:space="0"/>
              <w:right w:val="nil"/>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专业添乘</w:t>
            </w: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仿真系统：“行调，绿城广场上行10104次有专业人员添乘”</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573"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行调无线调度台联系10104次：“确认身份，行调同意”</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512"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844" w:hRule="atLeast"/>
        </w:trPr>
        <w:tc>
          <w:tcPr>
            <w:tcW w:w="417" w:type="pct"/>
            <w:vMerge w:val="restart"/>
            <w:tcBorders>
              <w:top w:val="nil"/>
              <w:left w:val="single" w:color="000000" w:sz="4" w:space="0"/>
              <w:bottom w:val="single" w:color="000000" w:sz="4" w:space="0"/>
              <w:right w:val="nil"/>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积水变化</w:t>
            </w: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仿真系统：“行调，10104次发现K18米处积水已淹至轨腰，长度大约20米”</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603"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行调无线调度台联系10104次：“是否有持续性水源”</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799"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仿真系统：“未发现持续性水源，但有上涨趋势”</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099"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行调无线调度台联系10104次：“10104次限速40通过积水区段，加强列车状态及线路观察，有异常及时汇报”</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799"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仿真系统：“限速40通过积水区段，10104次收到”</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980" w:hRule="atLeast"/>
        </w:trPr>
        <w:tc>
          <w:tcPr>
            <w:tcW w:w="417" w:type="pct"/>
            <w:vMerge w:val="restart"/>
            <w:tcBorders>
              <w:top w:val="nil"/>
              <w:left w:val="single" w:color="000000" w:sz="4" w:space="0"/>
              <w:bottom w:val="single" w:color="000000" w:sz="4" w:space="0"/>
              <w:right w:val="nil"/>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区间疏散</w:t>
            </w: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仿真系统：“行调，10104次经过积水区段时，隧道右侧墙壁开裂，渗水严重，目前积水已淹过轨面且在持续上涨，DDU显示所有牵引逆变器显红，列车紧致无法缓解”</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853"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行调无线调度台联系10104次：“10104次区间疏散，疏散方向为动物园站，行调101”</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428"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仿真系统：“现进行区间疏散，10104次收到”</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076"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行调有线调度台通知绿城广场站及动物园站：“绿城广场至动物园上行区间10104次区间疏散，疏散方向为动物园站，行调101”</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720"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仿真系统：“车站收到”</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959"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行调有线调度台通知电调：“绿城广场至动物园上行区间10104次区间疏散，疏散方向为动物园站，合轨电位，并启用相应环控模式”</w:t>
            </w:r>
          </w:p>
        </w:tc>
        <w:tc>
          <w:tcPr>
            <w:tcW w:w="1579" w:type="pct"/>
            <w:tcBorders>
              <w:top w:val="nil"/>
              <w:left w:val="nil"/>
              <w:bottom w:val="nil"/>
              <w:right w:val="nil"/>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p>
        </w:tc>
        <w:tc>
          <w:tcPr>
            <w:tcW w:w="329"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859"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仿真系统：“收到，轨电位已合上并启用相应环控模式”</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112" w:hRule="atLeast"/>
        </w:trPr>
        <w:tc>
          <w:tcPr>
            <w:tcW w:w="417" w:type="pct"/>
            <w:vMerge w:val="restar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临线观察</w:t>
            </w:r>
          </w:p>
        </w:tc>
        <w:tc>
          <w:tcPr>
            <w:tcW w:w="2673"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行调无线调度台通知动物园下行11105次：“11105次，动物园至绿城广场下行区间限速25运行，有异常及时汇报”</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263" w:hRule="atLeast"/>
        </w:trPr>
        <w:tc>
          <w:tcPr>
            <w:tcW w:w="417"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218" w:hRule="atLeast"/>
        </w:trPr>
        <w:tc>
          <w:tcPr>
            <w:tcW w:w="417"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行调无线调度台通知动物园下行16905次：“16905次，动物园至绿城广场下行区间限速25运行，有异常及时汇报”</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414" w:hRule="atLeast"/>
        </w:trPr>
        <w:tc>
          <w:tcPr>
            <w:tcW w:w="417" w:type="pct"/>
            <w:vMerge w:val="continue"/>
            <w:tcBorders>
              <w:top w:val="nil"/>
              <w:left w:val="single" w:color="000000" w:sz="4" w:space="0"/>
              <w:bottom w:val="single" w:color="000000" w:sz="4" w:space="0"/>
              <w:right w:val="single" w:color="000000"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02" w:hRule="atLeast"/>
        </w:trPr>
        <w:tc>
          <w:tcPr>
            <w:tcW w:w="417" w:type="pct"/>
            <w:vMerge w:val="restart"/>
            <w:tcBorders>
              <w:top w:val="nil"/>
              <w:left w:val="single" w:color="000000" w:sz="4" w:space="0"/>
              <w:bottom w:val="single" w:color="000000" w:sz="4" w:space="0"/>
              <w:right w:val="nil"/>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交路准备</w:t>
            </w: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行调操作ATS终端，将绿城广场上行出站S1301信号机交人工控。</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557"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行调操作ATS终端，对G22D、G26D计轴区段执行封锁。</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623"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行调操作ATS终端，对商业街上行设置扣车。</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845"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行调无线调度台联系10204次：“10204次，商业街上行开门待令，行调扣车，行调101”</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559"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仿真系统：“10204次收到”</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20" w:hRule="atLeast"/>
        </w:trPr>
        <w:tc>
          <w:tcPr>
            <w:tcW w:w="417" w:type="pct"/>
            <w:vMerge w:val="restart"/>
            <w:tcBorders>
              <w:top w:val="nil"/>
              <w:left w:val="single" w:color="000000" w:sz="4" w:space="0"/>
              <w:bottom w:val="nil"/>
              <w:right w:val="nil"/>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交路组织</w:t>
            </w: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行调向全线司机发布全线令：“行调呼叫全线各次列车司机，请19105次司机复诵</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319" w:hRule="atLeast"/>
        </w:trPr>
        <w:tc>
          <w:tcPr>
            <w:tcW w:w="417" w:type="pct"/>
            <w:vMerge w:val="continue"/>
            <w:tcBorders>
              <w:top w:val="nil"/>
              <w:left w:val="single" w:color="000000" w:sz="4" w:space="0"/>
              <w:bottom w:val="nil"/>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仿真系统：“19105次收到”</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845" w:hRule="atLeast"/>
        </w:trPr>
        <w:tc>
          <w:tcPr>
            <w:tcW w:w="417" w:type="pct"/>
            <w:vMerge w:val="continue"/>
            <w:tcBorders>
              <w:top w:val="nil"/>
              <w:left w:val="single" w:color="000000" w:sz="4" w:space="0"/>
              <w:bottom w:val="nil"/>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行调向全线司机发布全线令：“自发令时起，全线运行交路变更为会展中心站至绿城广场站小交路运行，绿城广场站采用上行折返”</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711" w:hRule="atLeast"/>
        </w:trPr>
        <w:tc>
          <w:tcPr>
            <w:tcW w:w="417" w:type="pct"/>
            <w:vMerge w:val="continue"/>
            <w:tcBorders>
              <w:top w:val="nil"/>
              <w:left w:val="single" w:color="000000" w:sz="4" w:space="0"/>
              <w:bottom w:val="nil"/>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行调向全线司机发布全线令：“绿城广场站下行至人民公园站下行正线单线双向运行，指定11205次担任单线双向运行列车”</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1051" w:hRule="atLeast"/>
        </w:trPr>
        <w:tc>
          <w:tcPr>
            <w:tcW w:w="417" w:type="pct"/>
            <w:vMerge w:val="continue"/>
            <w:tcBorders>
              <w:top w:val="nil"/>
              <w:left w:val="single" w:color="000000" w:sz="4" w:space="0"/>
              <w:bottom w:val="nil"/>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行调向全线司机发布全线令：“人民公园站至火车东站小交路运行，人民公园站采用存车线I道折返，行调101。”</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702" w:hRule="atLeast"/>
        </w:trPr>
        <w:tc>
          <w:tcPr>
            <w:tcW w:w="417" w:type="pct"/>
            <w:vMerge w:val="continue"/>
            <w:tcBorders>
              <w:top w:val="nil"/>
              <w:left w:val="single" w:color="000000" w:sz="4" w:space="0"/>
              <w:bottom w:val="nil"/>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692" w:hRule="atLeast"/>
        </w:trPr>
        <w:tc>
          <w:tcPr>
            <w:tcW w:w="417" w:type="pct"/>
            <w:vMerge w:val="continue"/>
            <w:tcBorders>
              <w:top w:val="nil"/>
              <w:left w:val="single" w:color="000000" w:sz="4" w:space="0"/>
              <w:bottom w:val="nil"/>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行调向全线车站发布全线令：“行调呼叫全线车站，请人民公园站复诵”</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619" w:hRule="atLeast"/>
        </w:trPr>
        <w:tc>
          <w:tcPr>
            <w:tcW w:w="417" w:type="pct"/>
            <w:vMerge w:val="continue"/>
            <w:tcBorders>
              <w:top w:val="nil"/>
              <w:left w:val="single" w:color="000000" w:sz="4" w:space="0"/>
              <w:bottom w:val="nil"/>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仿真系统：人民公园站收到</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925" w:hRule="atLeast"/>
        </w:trPr>
        <w:tc>
          <w:tcPr>
            <w:tcW w:w="417" w:type="pct"/>
            <w:vMerge w:val="continue"/>
            <w:tcBorders>
              <w:top w:val="nil"/>
              <w:left w:val="single" w:color="000000" w:sz="4" w:space="0"/>
              <w:bottom w:val="nil"/>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行调向全线车站发布全线令：“自发令时起，全线运行交路变更为会展中心站至绿城广场站小交路运行，绿城广场站采用上行折返”</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824" w:hRule="atLeast"/>
        </w:trPr>
        <w:tc>
          <w:tcPr>
            <w:tcW w:w="417" w:type="pct"/>
            <w:vMerge w:val="continue"/>
            <w:tcBorders>
              <w:top w:val="nil"/>
              <w:left w:val="single" w:color="000000" w:sz="4" w:space="0"/>
              <w:bottom w:val="nil"/>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行调向全线车站发布全线令：“绿城广场站下行至人民公园站下行正线单线双向运行，指定11205次担任单线双向运行列车”</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880" w:hRule="atLeast"/>
        </w:trPr>
        <w:tc>
          <w:tcPr>
            <w:tcW w:w="417" w:type="pct"/>
            <w:vMerge w:val="continue"/>
            <w:tcBorders>
              <w:top w:val="nil"/>
              <w:left w:val="single" w:color="000000" w:sz="4" w:space="0"/>
              <w:bottom w:val="nil"/>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行调向全线车站发布全线令：“人民公园站至火车东站小交路运行，人民公园站采用存车线I道折返，行调101。”</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356" w:hRule="atLeast"/>
        </w:trPr>
        <w:tc>
          <w:tcPr>
            <w:tcW w:w="417" w:type="pct"/>
            <w:vMerge w:val="continue"/>
            <w:tcBorders>
              <w:top w:val="nil"/>
              <w:left w:val="single" w:color="000000" w:sz="4" w:space="0"/>
              <w:bottom w:val="nil"/>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600" w:hRule="atLeast"/>
        </w:trPr>
        <w:tc>
          <w:tcPr>
            <w:tcW w:w="417" w:type="pct"/>
            <w:vMerge w:val="continue"/>
            <w:tcBorders>
              <w:top w:val="nil"/>
              <w:left w:val="single" w:color="000000" w:sz="4" w:space="0"/>
              <w:bottom w:val="nil"/>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行调操作ATS终端，将绿城广场下行出站X1308信号机交人工控。</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1002" w:hRule="atLeast"/>
        </w:trPr>
        <w:tc>
          <w:tcPr>
            <w:tcW w:w="417" w:type="pct"/>
            <w:vMerge w:val="continue"/>
            <w:tcBorders>
              <w:top w:val="nil"/>
              <w:left w:val="single" w:color="000000" w:sz="4" w:space="0"/>
              <w:bottom w:val="nil"/>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行调操作ATS终端，将人民公园下行出站X1614信号机交人工控。</w:t>
            </w:r>
            <w:r>
              <w:rPr>
                <w:rFonts w:hint="eastAsia" w:ascii="仿宋" w:hAnsi="仿宋" w:cs="仿宋"/>
                <w:kern w:val="0"/>
                <w:sz w:val="21"/>
                <w:szCs w:val="21"/>
              </w:rPr>
              <w:br w:type="textWrapping"/>
            </w:r>
            <w:r>
              <w:rPr>
                <w:rFonts w:hint="eastAsia" w:ascii="仿宋" w:hAnsi="仿宋" w:cs="仿宋"/>
                <w:kern w:val="0"/>
                <w:sz w:val="21"/>
                <w:szCs w:val="21"/>
              </w:rPr>
              <w:t>（若X1614-X1502进路已触发，取消进路）</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753" w:hRule="atLeast"/>
        </w:trPr>
        <w:tc>
          <w:tcPr>
            <w:tcW w:w="417" w:type="pct"/>
            <w:vMerge w:val="continue"/>
            <w:tcBorders>
              <w:top w:val="nil"/>
              <w:left w:val="single" w:color="000000" w:sz="4" w:space="0"/>
              <w:bottom w:val="nil"/>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行调操作ATS终端，将人民公园X1606信号机交人工控。</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942" w:hRule="atLeast"/>
        </w:trPr>
        <w:tc>
          <w:tcPr>
            <w:tcW w:w="417" w:type="pct"/>
            <w:vMerge w:val="continue"/>
            <w:tcBorders>
              <w:top w:val="nil"/>
              <w:left w:val="single" w:color="000000" w:sz="4" w:space="0"/>
              <w:bottom w:val="nil"/>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行调操作ATS终端，将大学路下行出站X1702信号机交人工控。</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2271" w:hRule="atLeast"/>
        </w:trPr>
        <w:tc>
          <w:tcPr>
            <w:tcW w:w="417" w:type="pct"/>
            <w:vMerge w:val="continue"/>
            <w:tcBorders>
              <w:top w:val="nil"/>
              <w:left w:val="single" w:color="000000" w:sz="4" w:space="0"/>
              <w:bottom w:val="nil"/>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行调密切关注交路组织</w:t>
            </w:r>
            <w:r>
              <w:rPr>
                <w:rFonts w:hint="eastAsia" w:ascii="仿宋" w:hAnsi="仿宋" w:cs="仿宋"/>
                <w:kern w:val="0"/>
                <w:sz w:val="21"/>
                <w:szCs w:val="21"/>
              </w:rPr>
              <w:br w:type="textWrapping"/>
            </w:r>
            <w:r>
              <w:rPr>
                <w:rFonts w:hint="eastAsia" w:ascii="仿宋" w:hAnsi="仿宋" w:cs="仿宋"/>
                <w:kern w:val="0"/>
                <w:sz w:val="21"/>
                <w:szCs w:val="21"/>
              </w:rPr>
              <w:t>1、待列车在绿城广场站上行站台换端后，更改该列车的目的码为014，服务号不变。</w:t>
            </w:r>
            <w:r>
              <w:rPr>
                <w:rFonts w:hint="eastAsia" w:ascii="仿宋" w:hAnsi="仿宋" w:cs="仿宋"/>
                <w:kern w:val="0"/>
                <w:sz w:val="21"/>
                <w:szCs w:val="21"/>
              </w:rPr>
              <w:br w:type="textWrapping"/>
            </w:r>
            <w:r>
              <w:rPr>
                <w:rFonts w:hint="eastAsia" w:ascii="仿宋" w:hAnsi="仿宋" w:cs="仿宋"/>
                <w:kern w:val="0"/>
                <w:sz w:val="21"/>
                <w:szCs w:val="21"/>
              </w:rPr>
              <w:t>2、行调人工准备X1702-X1614、X1614-X1606进路，组织人民公园站至火车东站小交路；</w:t>
            </w:r>
            <w:r>
              <w:rPr>
                <w:rFonts w:hint="eastAsia" w:ascii="仿宋" w:hAnsi="仿宋" w:cs="仿宋"/>
                <w:kern w:val="0"/>
                <w:sz w:val="21"/>
                <w:szCs w:val="21"/>
              </w:rPr>
              <w:br w:type="textWrapping"/>
            </w:r>
            <w:r>
              <w:rPr>
                <w:rFonts w:hint="eastAsia" w:ascii="仿宋" w:hAnsi="仿宋" w:cs="仿宋"/>
                <w:kern w:val="0"/>
                <w:sz w:val="21"/>
                <w:szCs w:val="21"/>
              </w:rPr>
              <w:t>3、待列车在人民公园存车线I道换端后，更改该列车的目的码为254，服务号不变</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286" w:hRule="atLeast"/>
        </w:trPr>
        <w:tc>
          <w:tcPr>
            <w:tcW w:w="417" w:type="pct"/>
            <w:vMerge w:val="continue"/>
            <w:tcBorders>
              <w:top w:val="nil"/>
              <w:left w:val="single" w:color="000000" w:sz="4" w:space="0"/>
              <w:bottom w:val="nil"/>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若未及时组织列车小交路运行，出现以下任一情况扣5分，最多扣5分</w:t>
            </w:r>
            <w:r>
              <w:rPr>
                <w:rFonts w:hint="eastAsia" w:ascii="仿宋" w:hAnsi="仿宋" w:cs="仿宋"/>
                <w:kern w:val="0"/>
                <w:sz w:val="21"/>
                <w:szCs w:val="21"/>
              </w:rPr>
              <w:br w:type="textWrapping"/>
            </w:r>
            <w:r>
              <w:rPr>
                <w:rFonts w:hint="eastAsia" w:ascii="仿宋" w:hAnsi="仿宋" w:cs="仿宋"/>
                <w:kern w:val="0"/>
                <w:sz w:val="21"/>
                <w:szCs w:val="21"/>
              </w:rPr>
              <w:t>1、列车在X1310、X1702、X1614、S0702信号机前停留超过2分钟，每列扣5分；</w:t>
            </w:r>
            <w:r>
              <w:rPr>
                <w:rFonts w:hint="eastAsia" w:ascii="仿宋" w:hAnsi="仿宋" w:cs="仿宋"/>
                <w:kern w:val="0"/>
                <w:sz w:val="21"/>
                <w:szCs w:val="21"/>
              </w:rPr>
              <w:br w:type="textWrapping"/>
            </w:r>
            <w:r>
              <w:rPr>
                <w:rFonts w:hint="eastAsia" w:ascii="仿宋" w:hAnsi="仿宋" w:cs="仿宋"/>
                <w:kern w:val="0"/>
                <w:sz w:val="21"/>
                <w:szCs w:val="21"/>
              </w:rPr>
              <w:t>2、列车在S1610信号机前停留超过3分钟，每列扣5分</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5</w:t>
            </w:r>
          </w:p>
        </w:tc>
      </w:tr>
      <w:tr>
        <w:tblPrEx>
          <w:tblCellMar>
            <w:top w:w="0" w:type="dxa"/>
            <w:left w:w="108" w:type="dxa"/>
            <w:bottom w:w="0" w:type="dxa"/>
            <w:right w:w="108" w:type="dxa"/>
          </w:tblCellMar>
        </w:tblPrEx>
        <w:trPr>
          <w:trHeight w:val="1080" w:hRule="atLeast"/>
        </w:trPr>
        <w:tc>
          <w:tcPr>
            <w:tcW w:w="417" w:type="pct"/>
            <w:vMerge w:val="restart"/>
            <w:tcBorders>
              <w:top w:val="single" w:color="000000" w:sz="4" w:space="0"/>
              <w:left w:val="single" w:color="000000" w:sz="4" w:space="0"/>
              <w:bottom w:val="single" w:color="000000" w:sz="4" w:space="0"/>
              <w:right w:val="nil"/>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疏散完毕</w:t>
            </w: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仿真系统：“行调，10104次区间疏散完毕，人员已全部出清，共计300人”</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99" w:hRule="atLeast"/>
        </w:trPr>
        <w:tc>
          <w:tcPr>
            <w:tcW w:w="417" w:type="pct"/>
            <w:vMerge w:val="continue"/>
            <w:tcBorders>
              <w:top w:val="single" w:color="000000" w:sz="4" w:space="0"/>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行调无线调度台联系10104次：“收到，做好乘客服务”</w:t>
            </w:r>
          </w:p>
        </w:tc>
        <w:tc>
          <w:tcPr>
            <w:tcW w:w="1579" w:type="pct"/>
            <w:tcBorders>
              <w:top w:val="nil"/>
              <w:left w:val="nil"/>
              <w:bottom w:val="nil"/>
              <w:right w:val="nil"/>
            </w:tcBorders>
            <w:shd w:val="clear" w:color="auto" w:fill="auto"/>
            <w:noWrap/>
            <w:vAlign w:val="center"/>
          </w:tcPr>
          <w:p>
            <w:pPr>
              <w:widowControl/>
              <w:adjustRightInd/>
              <w:snapToGrid/>
              <w:spacing w:line="240" w:lineRule="auto"/>
              <w:ind w:firstLine="0" w:firstLineChars="0"/>
              <w:jc w:val="left"/>
              <w:rPr>
                <w:rFonts w:ascii="仿宋" w:hAnsi="仿宋" w:cs="仿宋"/>
                <w:kern w:val="0"/>
                <w:sz w:val="21"/>
                <w:szCs w:val="21"/>
              </w:rPr>
            </w:pPr>
          </w:p>
        </w:tc>
        <w:tc>
          <w:tcPr>
            <w:tcW w:w="329"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1002" w:hRule="atLeast"/>
        </w:trPr>
        <w:tc>
          <w:tcPr>
            <w:tcW w:w="417" w:type="pct"/>
            <w:vMerge w:val="restart"/>
            <w:tcBorders>
              <w:top w:val="nil"/>
              <w:left w:val="single" w:color="000000" w:sz="4" w:space="0"/>
              <w:bottom w:val="nil"/>
              <w:right w:val="nil"/>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抢修处理</w:t>
            </w: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single" w:color="000000" w:sz="4" w:space="0"/>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仿真系统：“行调，专业人员到达动物园站，请求下轨行区处理”</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39" w:hRule="atLeast"/>
        </w:trPr>
        <w:tc>
          <w:tcPr>
            <w:tcW w:w="417" w:type="pct"/>
            <w:vMerge w:val="continue"/>
            <w:tcBorders>
              <w:top w:val="nil"/>
              <w:left w:val="single" w:color="000000" w:sz="4" w:space="0"/>
              <w:bottom w:val="nil"/>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行调调度电话通知动物园站：“行调同意，做好防护”</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389" w:hRule="atLeast"/>
        </w:trPr>
        <w:tc>
          <w:tcPr>
            <w:tcW w:w="417" w:type="pct"/>
            <w:vMerge w:val="continue"/>
            <w:tcBorders>
              <w:top w:val="nil"/>
              <w:left w:val="single" w:color="000000" w:sz="4" w:space="0"/>
              <w:bottom w:val="nil"/>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仿真系统：“收到，做好防护”</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469" w:hRule="atLeast"/>
        </w:trPr>
        <w:tc>
          <w:tcPr>
            <w:tcW w:w="417" w:type="pct"/>
            <w:vMerge w:val="restart"/>
            <w:tcBorders>
              <w:top w:val="nil"/>
              <w:left w:val="single" w:color="000000" w:sz="4" w:space="0"/>
              <w:bottom w:val="single" w:color="000000" w:sz="4" w:space="0"/>
              <w:right w:val="nil"/>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组织列车运行</w:t>
            </w: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行调操作ATS终端，取消商业街上行扣车。</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845"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行调无线调度台联系10204次：“商业街上行10204次关门动车，绿城广场上行限速15进站”</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560" w:hRule="atLeast"/>
        </w:trPr>
        <w:tc>
          <w:tcPr>
            <w:tcW w:w="417" w:type="pct"/>
            <w:vMerge w:val="continue"/>
            <w:tcBorders>
              <w:top w:val="nil"/>
              <w:left w:val="single" w:color="000000" w:sz="4" w:space="0"/>
              <w:bottom w:val="single" w:color="auto"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823" w:hRule="atLeast"/>
        </w:trPr>
        <w:tc>
          <w:tcPr>
            <w:tcW w:w="417"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交路组织</w:t>
            </w:r>
          </w:p>
        </w:tc>
        <w:tc>
          <w:tcPr>
            <w:tcW w:w="2673" w:type="pct"/>
            <w:tcBorders>
              <w:top w:val="nil"/>
              <w:left w:val="single" w:color="auto"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仿真系统：“行调，10204次绿城广场上行进站欠标一节车厢”</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37" w:hRule="atLeast"/>
        </w:trPr>
        <w:tc>
          <w:tcPr>
            <w:tcW w:w="417" w:type="pct"/>
            <w:vMerge w:val="continue"/>
            <w:tcBorders>
              <w:top w:val="single" w:color="auto" w:sz="4" w:space="0"/>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auto"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行调无线调度台联系10204次：“10204次RM模式进站对标”</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900" w:hRule="atLeast"/>
        </w:trPr>
        <w:tc>
          <w:tcPr>
            <w:tcW w:w="417" w:type="pct"/>
            <w:vMerge w:val="continue"/>
            <w:tcBorders>
              <w:top w:val="single" w:color="auto" w:sz="4" w:space="0"/>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auto"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仿真系统：“RM模式进站对标，10204次收到”</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75" w:hRule="atLeast"/>
        </w:trPr>
        <w:tc>
          <w:tcPr>
            <w:tcW w:w="417" w:type="pct"/>
            <w:vMerge w:val="continue"/>
            <w:tcBorders>
              <w:top w:val="single" w:color="auto" w:sz="4" w:space="0"/>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auto"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行调无线调度台联系19105次：“大学路下行19105次，人民公园下行清客完毕进人民公园I道折返”</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275" w:hRule="atLeast"/>
        </w:trPr>
        <w:tc>
          <w:tcPr>
            <w:tcW w:w="417" w:type="pct"/>
            <w:vMerge w:val="continue"/>
            <w:tcBorders>
              <w:top w:val="single" w:color="auto" w:sz="4" w:space="0"/>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auto"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088" w:hRule="atLeast"/>
        </w:trPr>
        <w:tc>
          <w:tcPr>
            <w:tcW w:w="417" w:type="pct"/>
            <w:vMerge w:val="continue"/>
            <w:tcBorders>
              <w:top w:val="single" w:color="auto" w:sz="4" w:space="0"/>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auto"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行调无线调度台联系11205次：“绿城广场下行11205次，换端完毕切除ATC，乘客乘降完毕即可关门动车，迎宾路站下行凭行调指令动车”</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720" w:hRule="atLeast"/>
        </w:trPr>
        <w:tc>
          <w:tcPr>
            <w:tcW w:w="417" w:type="pct"/>
            <w:vMerge w:val="continue"/>
            <w:tcBorders>
              <w:top w:val="single" w:color="auto" w:sz="4" w:space="0"/>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auto"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9" w:type="pct"/>
            <w:tcBorders>
              <w:top w:val="nil"/>
              <w:left w:val="nil"/>
              <w:bottom w:val="single" w:color="000000" w:sz="4" w:space="0"/>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319" w:hRule="atLeast"/>
        </w:trPr>
        <w:tc>
          <w:tcPr>
            <w:tcW w:w="417" w:type="pct"/>
            <w:vMerge w:val="continue"/>
            <w:tcBorders>
              <w:top w:val="single" w:color="auto" w:sz="4" w:space="0"/>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auto"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行调操作ATS终端将10204次车改为10205次，目的码014。</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1099" w:hRule="atLeast"/>
        </w:trPr>
        <w:tc>
          <w:tcPr>
            <w:tcW w:w="417" w:type="pct"/>
            <w:vMerge w:val="continue"/>
            <w:tcBorders>
              <w:top w:val="single" w:color="auto" w:sz="4" w:space="0"/>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auto"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行调无线调度台联系10204次：“绿城广场上行10204次乘客乘降完毕，换端后RM模式动车”</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942" w:hRule="atLeast"/>
        </w:trPr>
        <w:tc>
          <w:tcPr>
            <w:tcW w:w="417" w:type="pct"/>
            <w:vMerge w:val="continue"/>
            <w:tcBorders>
              <w:top w:val="single" w:color="auto" w:sz="4" w:space="0"/>
              <w:left w:val="single" w:color="auto" w:sz="4" w:space="0"/>
              <w:bottom w:val="single" w:color="auto" w:sz="4" w:space="0"/>
              <w:right w:val="single" w:color="auto" w:sz="4" w:space="0"/>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auto"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1590" w:hRule="atLeast"/>
        </w:trPr>
        <w:tc>
          <w:tcPr>
            <w:tcW w:w="417" w:type="pct"/>
            <w:vMerge w:val="restart"/>
            <w:tcBorders>
              <w:top w:val="single" w:color="auto" w:sz="4" w:space="0"/>
              <w:left w:val="single" w:color="000000" w:sz="4" w:space="0"/>
              <w:bottom w:val="single" w:color="000000" w:sz="4" w:space="0"/>
              <w:right w:val="nil"/>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抢修完毕</w:t>
            </w: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仿真系统：“行调，绿城广场站至动物园站上行区间墙壁渗水导致积水故障已处理完毕，10104次具备动车条件，专业人员及司机已全部上车”</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39"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行调无线调度台联系10104次：“收到，是否有行车限制条件”</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1367"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仿真系统：“10104次限速25就近下线，绿城广场站至动物园站上行区间K18-K18+100区段需限速35km/h运行”</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66"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行调无线调度台联系10104次：“收到，限速25动车，加强对车辆状态及线路观察，有异常及时汇报”</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720"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56" w:hRule="atLeast"/>
        </w:trPr>
        <w:tc>
          <w:tcPr>
            <w:tcW w:w="417" w:type="pct"/>
            <w:vMerge w:val="restart"/>
            <w:tcBorders>
              <w:top w:val="nil"/>
              <w:left w:val="single" w:color="000000" w:sz="4" w:space="0"/>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行调操作ATS终端，将绿城广场下行出站X1308信号机交自动控。</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839"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行调操作ATS终端，将绿城广场上行出站S1301信号机交自动控。</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735"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行调操作ATS终端，将人民公园下行出站X1614信号机交自动控。</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805"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行调操作ATS终端，将大学路下行出站X1702信号机交自动控。</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703"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行调操作ATS终端，将大学路下行出站X1606信号机交自动控。</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1266"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行调无线调度台呼叫迎宾路站下行11205次司机：“11205次恢复ATC，迎宾路站下行清客换端，换端完毕往会展中心方向投入载客服务”</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720"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822"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行调操作ATS终端，对G22D、G26D计轴区段执行取消封锁。</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859"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行调向全线司机发布全线令：“行调呼叫全线各次列车司机，请11205次司机复诵”</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56"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853"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行调向全线司机发布全线令：“自发令时起，全线运行交路恢复为火车东站至会展中心站正常交路，行调101。”</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720"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607"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行调向全线车站发布全线令：“行调呼叫全线车站，请人民公园站复诵”</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702"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仿真系统：“人民公园站收到”</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811"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行调向全线车站发布全线令：“自发令时起，全线运行交路恢复为火车东站至会展中心站正常交路，行调101。”</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299"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403" w:hRule="atLeast"/>
        </w:trPr>
        <w:tc>
          <w:tcPr>
            <w:tcW w:w="417" w:type="pct"/>
            <w:vMerge w:val="restart"/>
            <w:tcBorders>
              <w:top w:val="nil"/>
              <w:left w:val="single" w:color="000000" w:sz="4" w:space="0"/>
              <w:bottom w:val="single" w:color="000000" w:sz="4" w:space="0"/>
              <w:right w:val="nil"/>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故障车下线</w:t>
            </w: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行调操作ATS终端，排列S1604-S1612进路。</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810"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行调无线调度台联系10104次：“10104次运行至人民公园站存车线II道下线，沿途各站不停站通过”</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319"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681"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行调操作ATS终端将10104次车改为97101次，目的码164。</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1079"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行调有线调度台呼叫绿城广场至人民公园各站：“10104次运行至人民公园站存车线II道下线，沿途各站不停站通过，做好乘客服务”</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859"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9" w:type="pct"/>
            <w:tcBorders>
              <w:top w:val="nil"/>
              <w:left w:val="nil"/>
              <w:bottom w:val="nil"/>
              <w:right w:val="single" w:color="000000"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732" w:hRule="atLeast"/>
        </w:trPr>
        <w:tc>
          <w:tcPr>
            <w:tcW w:w="417" w:type="pct"/>
            <w:vMerge w:val="continue"/>
            <w:tcBorders>
              <w:top w:val="nil"/>
              <w:left w:val="single" w:color="000000" w:sz="4" w:space="0"/>
              <w:bottom w:val="single" w:color="000000" w:sz="4" w:space="0"/>
              <w:right w:val="nil"/>
            </w:tcBorders>
            <w:vAlign w:val="center"/>
          </w:tcPr>
          <w:p>
            <w:pPr>
              <w:widowControl/>
              <w:adjustRightInd/>
              <w:snapToGrid/>
              <w:spacing w:line="240" w:lineRule="auto"/>
              <w:ind w:firstLine="0" w:firstLineChars="0"/>
              <w:jc w:val="left"/>
              <w:rPr>
                <w:rFonts w:ascii="仿宋" w:hAnsi="仿宋" w:cs="仿宋"/>
                <w:kern w:val="0"/>
                <w:sz w:val="21"/>
                <w:szCs w:val="21"/>
              </w:rPr>
            </w:pP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971次列车到达人民公园存车线II道后</w:t>
            </w:r>
            <w:r>
              <w:rPr>
                <w:rFonts w:hint="eastAsia" w:ascii="仿宋" w:hAnsi="仿宋" w:cs="仿宋"/>
                <w:kern w:val="0"/>
                <w:sz w:val="21"/>
                <w:szCs w:val="21"/>
              </w:rPr>
              <w:br w:type="textWrapping"/>
            </w:r>
            <w:r>
              <w:rPr>
                <w:rFonts w:hint="eastAsia" w:ascii="仿宋" w:hAnsi="仿宋" w:cs="仿宋"/>
                <w:kern w:val="0"/>
                <w:sz w:val="21"/>
                <w:szCs w:val="21"/>
              </w:rPr>
              <w:t>行调操作ATS终端将97101次设为人工车</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single" w:color="1F2329" w:sz="4" w:space="0"/>
              <w:left w:val="single" w:color="1F2329" w:sz="4" w:space="0"/>
              <w:bottom w:val="single" w:color="1F2329" w:sz="4" w:space="0"/>
              <w:right w:val="single" w:color="1F2329"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w:t>
            </w:r>
          </w:p>
        </w:tc>
      </w:tr>
      <w:tr>
        <w:tblPrEx>
          <w:tblCellMar>
            <w:top w:w="0" w:type="dxa"/>
            <w:left w:w="108" w:type="dxa"/>
            <w:bottom w:w="0" w:type="dxa"/>
            <w:right w:w="108" w:type="dxa"/>
          </w:tblCellMar>
        </w:tblPrEx>
        <w:trPr>
          <w:trHeight w:val="829" w:hRule="atLeast"/>
        </w:trPr>
        <w:tc>
          <w:tcPr>
            <w:tcW w:w="417" w:type="pct"/>
            <w:tcBorders>
              <w:top w:val="nil"/>
              <w:left w:val="single" w:color="000000" w:sz="4" w:space="0"/>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行调无线调度台联系19006次：“19006次列车取消转备用，火车东折返后改开10105次”</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single" w:color="1F2329" w:sz="4" w:space="0"/>
              <w:bottom w:val="single" w:color="1F2329" w:sz="4" w:space="0"/>
              <w:right w:val="single" w:color="1F2329"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415" w:hRule="atLeast"/>
        </w:trPr>
        <w:tc>
          <w:tcPr>
            <w:tcW w:w="417" w:type="pct"/>
            <w:tcBorders>
              <w:top w:val="nil"/>
              <w:left w:val="single" w:color="000000" w:sz="4" w:space="0"/>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仿真系统：“收到”</w:t>
            </w:r>
          </w:p>
        </w:tc>
        <w:tc>
          <w:tcPr>
            <w:tcW w:w="329" w:type="pct"/>
            <w:tcBorders>
              <w:top w:val="nil"/>
              <w:left w:val="single" w:color="1F2329" w:sz="4" w:space="0"/>
              <w:bottom w:val="single" w:color="1F2329" w:sz="4" w:space="0"/>
              <w:right w:val="single" w:color="1F2329"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967" w:hRule="atLeast"/>
        </w:trPr>
        <w:tc>
          <w:tcPr>
            <w:tcW w:w="417" w:type="pct"/>
            <w:tcBorders>
              <w:top w:val="nil"/>
              <w:left w:val="single" w:color="000000" w:sz="4" w:space="0"/>
              <w:bottom w:val="single" w:color="000000" w:sz="4" w:space="0"/>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3" w:type="pct"/>
            <w:tcBorders>
              <w:top w:val="nil"/>
              <w:left w:val="single" w:color="000000" w:sz="4" w:space="0"/>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19006次列车到达火车东折返线后</w:t>
            </w:r>
            <w:r>
              <w:rPr>
                <w:rFonts w:hint="eastAsia" w:ascii="仿宋" w:hAnsi="仿宋" w:cs="仿宋"/>
                <w:kern w:val="0"/>
                <w:sz w:val="21"/>
                <w:szCs w:val="21"/>
              </w:rPr>
              <w:br w:type="textWrapping"/>
            </w:r>
            <w:r>
              <w:rPr>
                <w:rFonts w:hint="eastAsia" w:ascii="仿宋" w:hAnsi="仿宋" w:cs="仿宋"/>
                <w:kern w:val="0"/>
                <w:sz w:val="21"/>
                <w:szCs w:val="21"/>
              </w:rPr>
              <w:t>行调操作ATS终端将19006次车改为10105次，目的码014</w:t>
            </w:r>
          </w:p>
        </w:tc>
        <w:tc>
          <w:tcPr>
            <w:tcW w:w="1579" w:type="pct"/>
            <w:tcBorders>
              <w:top w:val="nil"/>
              <w:left w:val="nil"/>
              <w:bottom w:val="single" w:color="000000" w:sz="4" w:space="0"/>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329" w:type="pct"/>
            <w:tcBorders>
              <w:top w:val="nil"/>
              <w:left w:val="single" w:color="1F2329" w:sz="4" w:space="0"/>
              <w:bottom w:val="single" w:color="1F2329" w:sz="4" w:space="0"/>
              <w:right w:val="single" w:color="1F2329" w:sz="4" w:space="0"/>
            </w:tcBorders>
            <w:shd w:val="clear" w:color="auto" w:fill="auto"/>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2</w:t>
            </w:r>
          </w:p>
        </w:tc>
      </w:tr>
      <w:tr>
        <w:tblPrEx>
          <w:tblCellMar>
            <w:top w:w="0" w:type="dxa"/>
            <w:left w:w="108" w:type="dxa"/>
            <w:bottom w:w="0" w:type="dxa"/>
            <w:right w:w="108" w:type="dxa"/>
          </w:tblCellMar>
        </w:tblPrEx>
        <w:trPr>
          <w:trHeight w:val="720" w:hRule="atLeast"/>
        </w:trPr>
        <w:tc>
          <w:tcPr>
            <w:tcW w:w="417" w:type="pct"/>
            <w:tcBorders>
              <w:top w:val="nil"/>
              <w:left w:val="single" w:color="000000" w:sz="4" w:space="0"/>
              <w:bottom w:val="nil"/>
              <w:right w:val="nil"/>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2673" w:type="pct"/>
            <w:tcBorders>
              <w:top w:val="nil"/>
              <w:left w:val="single" w:color="000000" w:sz="4" w:space="0"/>
              <w:bottom w:val="nil"/>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　</w:t>
            </w:r>
          </w:p>
        </w:tc>
        <w:tc>
          <w:tcPr>
            <w:tcW w:w="1579" w:type="pct"/>
            <w:tcBorders>
              <w:top w:val="nil"/>
              <w:left w:val="nil"/>
              <w:bottom w:val="nil"/>
              <w:right w:val="single" w:color="000000" w:sz="4" w:space="0"/>
            </w:tcBorders>
            <w:shd w:val="clear" w:color="auto" w:fill="auto"/>
            <w:vAlign w:val="center"/>
          </w:tcPr>
          <w:p>
            <w:pPr>
              <w:widowControl/>
              <w:adjustRightInd/>
              <w:snapToGrid/>
              <w:spacing w:line="240" w:lineRule="auto"/>
              <w:ind w:firstLine="0" w:firstLineChars="0"/>
              <w:jc w:val="left"/>
              <w:rPr>
                <w:rFonts w:ascii="仿宋" w:hAnsi="仿宋" w:cs="仿宋"/>
                <w:kern w:val="0"/>
                <w:sz w:val="21"/>
                <w:szCs w:val="21"/>
              </w:rPr>
            </w:pPr>
            <w:r>
              <w:rPr>
                <w:rFonts w:hint="eastAsia" w:ascii="仿宋" w:hAnsi="仿宋" w:cs="仿宋"/>
                <w:kern w:val="0"/>
                <w:sz w:val="21"/>
                <w:szCs w:val="21"/>
              </w:rPr>
              <w:t>仿真系统：“区间水淹应急处置结束”</w:t>
            </w:r>
          </w:p>
        </w:tc>
        <w:tc>
          <w:tcPr>
            <w:tcW w:w="329" w:type="pct"/>
            <w:tcBorders>
              <w:top w:val="nil"/>
              <w:left w:val="nil"/>
              <w:bottom w:val="nil"/>
              <w:right w:val="single" w:color="000000"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r>
      <w:tr>
        <w:tblPrEx>
          <w:tblCellMar>
            <w:top w:w="0" w:type="dxa"/>
            <w:left w:w="108" w:type="dxa"/>
            <w:bottom w:w="0" w:type="dxa"/>
            <w:right w:w="108" w:type="dxa"/>
          </w:tblCellMar>
        </w:tblPrEx>
        <w:trPr>
          <w:trHeight w:val="319" w:hRule="atLeast"/>
        </w:trPr>
        <w:tc>
          <w:tcPr>
            <w:tcW w:w="4670" w:type="pct"/>
            <w:gridSpan w:val="3"/>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　</w:t>
            </w:r>
          </w:p>
        </w:tc>
        <w:tc>
          <w:tcPr>
            <w:tcW w:w="329" w:type="pct"/>
            <w:tcBorders>
              <w:top w:val="single" w:color="auto" w:sz="4" w:space="0"/>
              <w:left w:val="nil"/>
              <w:bottom w:val="single" w:color="auto" w:sz="4" w:space="0"/>
              <w:right w:val="single" w:color="auto" w:sz="4" w:space="0"/>
            </w:tcBorders>
            <w:shd w:val="clear" w:color="auto" w:fill="auto"/>
            <w:noWrap/>
            <w:vAlign w:val="center"/>
          </w:tcPr>
          <w:p>
            <w:pPr>
              <w:widowControl/>
              <w:adjustRightInd/>
              <w:snapToGrid/>
              <w:spacing w:line="240" w:lineRule="auto"/>
              <w:ind w:firstLine="0" w:firstLineChars="0"/>
              <w:jc w:val="center"/>
              <w:rPr>
                <w:rFonts w:ascii="仿宋" w:hAnsi="仿宋" w:cs="仿宋"/>
                <w:kern w:val="0"/>
                <w:sz w:val="21"/>
                <w:szCs w:val="21"/>
              </w:rPr>
            </w:pPr>
            <w:r>
              <w:rPr>
                <w:rFonts w:hint="eastAsia" w:ascii="仿宋" w:hAnsi="仿宋" w:cs="仿宋"/>
                <w:kern w:val="0"/>
                <w:sz w:val="21"/>
                <w:szCs w:val="21"/>
              </w:rPr>
              <w:t>100</w:t>
            </w:r>
          </w:p>
        </w:tc>
      </w:tr>
    </w:tbl>
    <w:p>
      <w:pPr>
        <w:pStyle w:val="2"/>
        <w:spacing w:after="0" w:line="590" w:lineRule="exact"/>
        <w:ind w:left="0" w:leftChars="0" w:right="0" w:rightChars="0" w:firstLine="0" w:firstLineChars="0"/>
        <w:rPr>
          <w:rFonts w:ascii="Times New Roman" w:hAnsi="Times New Roman" w:eastAsia="方正仿宋_GBK" w:cs="Times New Roman"/>
        </w:rPr>
      </w:pPr>
    </w:p>
    <w:p>
      <w:pPr>
        <w:ind w:firstLine="643"/>
        <w:rPr>
          <w:rFonts w:ascii="方正仿宋_GBK" w:hAnsi="方正仿宋_GBK" w:eastAsia="方正仿宋_GBK" w:cs="方正仿宋_GBK"/>
          <w:b/>
          <w:bCs/>
        </w:rPr>
      </w:pPr>
    </w:p>
    <w:p>
      <w:pPr>
        <w:pStyle w:val="2"/>
        <w:spacing w:after="0" w:line="590" w:lineRule="exact"/>
        <w:ind w:left="0" w:leftChars="0" w:right="0" w:rightChars="0" w:firstLine="640"/>
        <w:rPr>
          <w:rFonts w:ascii="方正仿宋_GBK" w:hAnsi="方正仿宋_GBK" w:eastAsia="方正仿宋_GBK" w:cs="方正仿宋_GBK"/>
        </w:rPr>
      </w:pPr>
    </w:p>
    <w:p>
      <w:pPr>
        <w:pStyle w:val="2"/>
        <w:spacing w:after="0" w:line="590" w:lineRule="exact"/>
        <w:ind w:left="0" w:leftChars="0" w:right="0" w:rightChars="0" w:firstLine="640"/>
        <w:rPr>
          <w:rFonts w:ascii="方正仿宋_GBK" w:hAnsi="方正仿宋_GBK" w:eastAsia="方正仿宋_GBK" w:cs="方正仿宋_GBK"/>
        </w:rPr>
      </w:pPr>
    </w:p>
    <w:p>
      <w:pPr>
        <w:pStyle w:val="2"/>
        <w:spacing w:after="0" w:line="590" w:lineRule="exact"/>
        <w:ind w:left="0" w:leftChars="0" w:right="0" w:rightChars="0" w:firstLine="640"/>
        <w:rPr>
          <w:rFonts w:ascii="方正仿宋_GBK" w:hAnsi="方正仿宋_GBK" w:eastAsia="方正仿宋_GBK" w:cs="方正仿宋_GBK"/>
        </w:rPr>
      </w:pPr>
    </w:p>
    <w:p>
      <w:pPr>
        <w:pStyle w:val="2"/>
        <w:spacing w:after="0" w:line="590" w:lineRule="exact"/>
        <w:ind w:left="0" w:leftChars="0" w:right="0" w:rightChars="0" w:firstLine="640"/>
        <w:rPr>
          <w:rFonts w:ascii="方正仿宋_GBK" w:hAnsi="方正仿宋_GBK" w:eastAsia="方正仿宋_GBK" w:cs="方正仿宋_GBK"/>
        </w:rPr>
      </w:pPr>
    </w:p>
    <w:p>
      <w:pPr>
        <w:pStyle w:val="2"/>
        <w:spacing w:after="0" w:line="590" w:lineRule="exact"/>
        <w:ind w:left="0" w:leftChars="0" w:right="0" w:rightChars="0" w:firstLine="640"/>
        <w:rPr>
          <w:rFonts w:ascii="方正仿宋_GBK" w:hAnsi="方正仿宋_GBK" w:eastAsia="方正仿宋_GBK" w:cs="方正仿宋_GBK"/>
        </w:rPr>
      </w:pPr>
    </w:p>
    <w:p>
      <w:pPr>
        <w:pStyle w:val="2"/>
        <w:spacing w:after="0" w:line="590" w:lineRule="exact"/>
        <w:ind w:left="0" w:leftChars="0" w:right="0" w:rightChars="0" w:firstLine="640"/>
        <w:rPr>
          <w:rFonts w:ascii="方正仿宋_GBK" w:hAnsi="方正仿宋_GBK" w:eastAsia="方正仿宋_GBK" w:cs="方正仿宋_GBK"/>
        </w:rPr>
      </w:pPr>
    </w:p>
    <w:p>
      <w:pPr>
        <w:pStyle w:val="2"/>
        <w:spacing w:after="0" w:line="590" w:lineRule="exact"/>
        <w:ind w:left="0" w:leftChars="0" w:right="0" w:rightChars="0" w:firstLine="640"/>
        <w:rPr>
          <w:rFonts w:ascii="方正仿宋_GBK" w:hAnsi="方正仿宋_GBK" w:eastAsia="方正仿宋_GBK" w:cs="方正仿宋_GBK"/>
        </w:rPr>
      </w:pPr>
    </w:p>
    <w:p>
      <w:pPr>
        <w:pStyle w:val="2"/>
        <w:spacing w:after="0" w:line="590" w:lineRule="exact"/>
        <w:ind w:left="0" w:leftChars="0" w:right="0" w:rightChars="0" w:firstLine="640"/>
        <w:rPr>
          <w:rFonts w:ascii="方正仿宋_GBK" w:hAnsi="方正仿宋_GBK" w:eastAsia="方正仿宋_GBK" w:cs="方正仿宋_GBK"/>
        </w:rPr>
      </w:pPr>
    </w:p>
    <w:p>
      <w:pPr>
        <w:pStyle w:val="2"/>
        <w:spacing w:after="0" w:line="590" w:lineRule="exact"/>
        <w:ind w:left="0" w:leftChars="0" w:right="0" w:rightChars="0" w:firstLine="640"/>
        <w:rPr>
          <w:rFonts w:ascii="方正仿宋_GBK" w:hAnsi="方正仿宋_GBK" w:eastAsia="方正仿宋_GBK" w:cs="方正仿宋_GBK"/>
        </w:rPr>
      </w:pPr>
    </w:p>
    <w:p>
      <w:pPr>
        <w:pStyle w:val="2"/>
        <w:spacing w:after="0" w:line="590" w:lineRule="exact"/>
        <w:ind w:left="0" w:leftChars="0" w:right="0" w:rightChars="0" w:firstLine="640"/>
        <w:rPr>
          <w:rFonts w:ascii="方正仿宋_GBK" w:hAnsi="方正仿宋_GBK" w:eastAsia="方正仿宋_GBK" w:cs="方正仿宋_GBK"/>
        </w:rPr>
      </w:pPr>
    </w:p>
    <w:p>
      <w:pPr>
        <w:pStyle w:val="2"/>
        <w:spacing w:after="0" w:line="590" w:lineRule="exact"/>
        <w:ind w:left="0" w:leftChars="0" w:right="0" w:rightChars="0" w:firstLine="640"/>
        <w:rPr>
          <w:rFonts w:ascii="方正仿宋_GBK" w:hAnsi="方正仿宋_GBK" w:eastAsia="方正仿宋_GBK" w:cs="方正仿宋_GBK"/>
        </w:rPr>
      </w:pPr>
    </w:p>
    <w:p>
      <w:pPr>
        <w:pStyle w:val="2"/>
        <w:spacing w:after="0" w:line="590" w:lineRule="exact"/>
        <w:ind w:left="0" w:leftChars="0" w:right="0" w:rightChars="0" w:firstLine="640"/>
        <w:rPr>
          <w:rFonts w:ascii="方正仿宋_GBK" w:hAnsi="方正仿宋_GBK" w:eastAsia="方正仿宋_GBK" w:cs="方正仿宋_GBK"/>
        </w:rPr>
      </w:pPr>
    </w:p>
    <w:p>
      <w:pPr>
        <w:pStyle w:val="2"/>
        <w:spacing w:after="0" w:line="590" w:lineRule="exact"/>
        <w:ind w:left="0" w:leftChars="0" w:right="0" w:rightChars="0" w:firstLine="640"/>
        <w:rPr>
          <w:rFonts w:ascii="方正仿宋_GBK" w:hAnsi="方正仿宋_GBK" w:eastAsia="方正仿宋_GBK" w:cs="方正仿宋_GBK"/>
        </w:rPr>
      </w:pPr>
    </w:p>
    <w:p>
      <w:pPr>
        <w:pStyle w:val="2"/>
        <w:spacing w:after="0" w:line="590" w:lineRule="exact"/>
        <w:ind w:left="0" w:leftChars="0" w:right="0" w:rightChars="0" w:firstLine="640"/>
        <w:rPr>
          <w:rFonts w:ascii="方正仿宋_GBK" w:hAnsi="方正仿宋_GBK" w:eastAsia="方正仿宋_GBK" w:cs="方正仿宋_GBK"/>
        </w:rPr>
      </w:pPr>
    </w:p>
    <w:p>
      <w:pPr>
        <w:pStyle w:val="2"/>
        <w:spacing w:after="0" w:line="590" w:lineRule="exact"/>
        <w:ind w:left="0" w:leftChars="0" w:right="0" w:rightChars="0" w:firstLine="640"/>
        <w:rPr>
          <w:rFonts w:ascii="方正仿宋_GBK" w:hAnsi="方正仿宋_GBK" w:eastAsia="方正仿宋_GBK" w:cs="方正仿宋_GBK"/>
        </w:rPr>
        <w:sectPr>
          <w:headerReference r:id="rId13" w:type="first"/>
          <w:headerReference r:id="rId11" w:type="default"/>
          <w:footerReference r:id="rId14" w:type="default"/>
          <w:headerReference r:id="rId12" w:type="even"/>
          <w:footerReference r:id="rId15" w:type="even"/>
          <w:pgSz w:w="11906" w:h="16838"/>
          <w:pgMar w:top="2098" w:right="1474" w:bottom="1984" w:left="1587" w:header="397" w:footer="283" w:gutter="0"/>
          <w:cols w:space="425" w:num="1"/>
          <w:docGrid w:linePitch="435" w:charSpace="0"/>
        </w:sectPr>
      </w:pPr>
    </w:p>
    <w:p>
      <w:pPr>
        <w:pStyle w:val="2"/>
        <w:spacing w:after="0" w:line="590" w:lineRule="exact"/>
        <w:ind w:left="0" w:leftChars="0" w:right="0" w:rightChars="0" w:firstLine="0" w:firstLineChars="0"/>
        <w:rPr>
          <w:rFonts w:hint="eastAsia" w:ascii="宋体" w:hAnsi="宋体" w:eastAsia="方正黑体_GBK"/>
          <w:b/>
          <w:bCs/>
          <w:sz w:val="24"/>
          <w:lang w:val="en-US" w:eastAsia="zh-CN"/>
        </w:rPr>
      </w:pPr>
      <w:r>
        <w:rPr>
          <w:rFonts w:hint="eastAsia" w:ascii="方正黑体_GBK" w:hAnsi="方正黑体_GBK" w:eastAsia="方正黑体_GBK" w:cs="方正黑体_GBK"/>
          <w:b/>
          <w:bCs/>
        </w:rPr>
        <w:t>附件一：竞赛系统所用站场图</w:t>
      </w:r>
    </w:p>
    <w:p>
      <w:pPr>
        <w:pStyle w:val="2"/>
        <w:ind w:left="0" w:leftChars="0" w:right="0" w:rightChars="0" w:firstLine="0" w:firstLineChars="0"/>
      </w:pPr>
    </w:p>
    <w:p>
      <w:pPr>
        <w:pStyle w:val="2"/>
        <w:ind w:left="0" w:leftChars="0" w:right="0" w:rightChars="0" w:firstLine="0" w:firstLineChars="0"/>
      </w:pPr>
      <w:r>
        <w:drawing>
          <wp:inline distT="0" distB="0" distL="114300" distR="114300">
            <wp:extent cx="8393430" cy="3979545"/>
            <wp:effectExtent l="0" t="0" r="3810" b="1333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19"/>
                    <a:stretch>
                      <a:fillRect/>
                    </a:stretch>
                  </pic:blipFill>
                  <pic:spPr>
                    <a:xfrm>
                      <a:off x="0" y="0"/>
                      <a:ext cx="8393430" cy="3979545"/>
                    </a:xfrm>
                    <a:prstGeom prst="rect">
                      <a:avLst/>
                    </a:prstGeom>
                    <a:noFill/>
                    <a:ln>
                      <a:noFill/>
                    </a:ln>
                  </pic:spPr>
                </pic:pic>
              </a:graphicData>
            </a:graphic>
          </wp:inline>
        </w:drawing>
      </w:r>
    </w:p>
    <w:p>
      <w:pPr>
        <w:pStyle w:val="2"/>
        <w:ind w:left="0" w:leftChars="0" w:right="0" w:rightChars="0" w:firstLine="0" w:firstLineChars="0"/>
      </w:pPr>
    </w:p>
    <w:p>
      <w:pPr>
        <w:pStyle w:val="2"/>
        <w:ind w:left="0" w:leftChars="0" w:right="0" w:rightChars="0" w:firstLine="0" w:firstLineChars="0"/>
      </w:pPr>
    </w:p>
    <w:p>
      <w:pPr>
        <w:pStyle w:val="2"/>
        <w:ind w:left="0" w:leftChars="0" w:right="0" w:rightChars="0" w:firstLine="0" w:firstLineChars="0"/>
      </w:pPr>
    </w:p>
    <w:p>
      <w:pPr>
        <w:pStyle w:val="2"/>
        <w:ind w:left="0" w:leftChars="0" w:right="0" w:rightChars="0" w:firstLine="0" w:firstLineChars="0"/>
      </w:pPr>
      <w:r>
        <w:drawing>
          <wp:inline distT="0" distB="0" distL="114300" distR="114300">
            <wp:extent cx="8096250" cy="3742055"/>
            <wp:effectExtent l="0" t="0" r="11430" b="6985"/>
            <wp:docPr id="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3"/>
                    <pic:cNvPicPr>
                      <a:picLocks noChangeAspect="1"/>
                    </pic:cNvPicPr>
                  </pic:nvPicPr>
                  <pic:blipFill>
                    <a:blip r:embed="rId20"/>
                    <a:stretch>
                      <a:fillRect/>
                    </a:stretch>
                  </pic:blipFill>
                  <pic:spPr>
                    <a:xfrm>
                      <a:off x="0" y="0"/>
                      <a:ext cx="8096250" cy="3742055"/>
                    </a:xfrm>
                    <a:prstGeom prst="rect">
                      <a:avLst/>
                    </a:prstGeom>
                    <a:noFill/>
                    <a:ln>
                      <a:noFill/>
                    </a:ln>
                  </pic:spPr>
                </pic:pic>
              </a:graphicData>
            </a:graphic>
          </wp:inline>
        </w:drawing>
      </w:r>
    </w:p>
    <w:p>
      <w:pPr>
        <w:pStyle w:val="2"/>
        <w:ind w:left="0" w:leftChars="0" w:right="0" w:rightChars="0" w:firstLine="0" w:firstLineChars="0"/>
      </w:pPr>
    </w:p>
    <w:p>
      <w:pPr>
        <w:pStyle w:val="2"/>
        <w:ind w:left="0" w:leftChars="0" w:right="0" w:rightChars="0" w:firstLine="0" w:firstLineChars="0"/>
      </w:pPr>
    </w:p>
    <w:p>
      <w:pPr>
        <w:pStyle w:val="2"/>
        <w:ind w:left="0" w:leftChars="0" w:right="0" w:rightChars="0" w:firstLine="0" w:firstLineChars="0"/>
      </w:pPr>
    </w:p>
    <w:p>
      <w:pPr>
        <w:pStyle w:val="2"/>
        <w:ind w:left="0" w:leftChars="0" w:right="0" w:rightChars="0" w:firstLine="0" w:firstLineChars="0"/>
      </w:pPr>
    </w:p>
    <w:p>
      <w:pPr>
        <w:pStyle w:val="2"/>
        <w:ind w:left="0" w:leftChars="0" w:right="0" w:rightChars="0" w:firstLine="0" w:firstLineChars="0"/>
      </w:pPr>
      <w:r>
        <w:drawing>
          <wp:inline distT="0" distB="0" distL="114300" distR="114300">
            <wp:extent cx="8441055" cy="3869055"/>
            <wp:effectExtent l="0" t="0" r="1905" b="1905"/>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pic:cNvPicPr>
                  </pic:nvPicPr>
                  <pic:blipFill>
                    <a:blip r:embed="rId21"/>
                    <a:stretch>
                      <a:fillRect/>
                    </a:stretch>
                  </pic:blipFill>
                  <pic:spPr>
                    <a:xfrm>
                      <a:off x="0" y="0"/>
                      <a:ext cx="8441055" cy="3869055"/>
                    </a:xfrm>
                    <a:prstGeom prst="rect">
                      <a:avLst/>
                    </a:prstGeom>
                    <a:noFill/>
                    <a:ln>
                      <a:noFill/>
                    </a:ln>
                  </pic:spPr>
                </pic:pic>
              </a:graphicData>
            </a:graphic>
          </wp:inline>
        </w:drawing>
      </w:r>
    </w:p>
    <w:p>
      <w:pPr>
        <w:pStyle w:val="2"/>
        <w:spacing w:after="0"/>
        <w:ind w:left="0" w:leftChars="0" w:rightChars="0" w:firstLine="0" w:firstLineChars="0"/>
        <w:outlineLvl w:val="0"/>
        <w:rPr>
          <w:rFonts w:ascii="宋体" w:hAnsi="宋体" w:eastAsia="宋体"/>
          <w:b/>
          <w:bCs/>
          <w:sz w:val="24"/>
        </w:rPr>
      </w:pPr>
    </w:p>
    <w:p>
      <w:pPr>
        <w:pStyle w:val="2"/>
        <w:spacing w:after="0"/>
        <w:ind w:left="0" w:leftChars="0" w:rightChars="0" w:firstLine="0" w:firstLineChars="0"/>
        <w:outlineLvl w:val="0"/>
        <w:rPr>
          <w:rFonts w:ascii="宋体" w:hAnsi="宋体" w:eastAsia="宋体"/>
          <w:b/>
          <w:bCs/>
          <w:sz w:val="24"/>
        </w:rPr>
      </w:pPr>
    </w:p>
    <w:p>
      <w:pPr>
        <w:pStyle w:val="2"/>
        <w:spacing w:after="0" w:line="590" w:lineRule="exact"/>
        <w:ind w:left="0" w:leftChars="0" w:right="0" w:rightChars="0" w:firstLine="0" w:firstLineChars="0"/>
        <w:rPr>
          <w:rFonts w:ascii="方正黑体_GBK" w:hAnsi="方正黑体_GBK" w:eastAsia="方正黑体_GBK" w:cs="方正黑体_GBK"/>
          <w:b/>
          <w:bCs/>
        </w:rPr>
      </w:pPr>
      <w:r>
        <w:rPr>
          <w:rFonts w:hint="eastAsia" w:ascii="方正黑体_GBK" w:hAnsi="方正黑体_GBK" w:eastAsia="方正黑体_GBK" w:cs="方正黑体_GBK"/>
          <w:b/>
          <w:bCs/>
        </w:rPr>
        <w:t>附件二：竞赛系统所用运行图</w:t>
      </w:r>
      <w:bookmarkStart w:id="23" w:name="_GoBack"/>
      <w:bookmarkEnd w:id="23"/>
    </w:p>
    <w:p>
      <w:pPr>
        <w:pStyle w:val="2"/>
        <w:spacing w:after="0"/>
        <w:ind w:left="0" w:leftChars="0" w:rightChars="0" w:firstLine="0" w:firstLineChars="0"/>
        <w:outlineLvl w:val="0"/>
        <w:rPr>
          <w:rFonts w:ascii="宋体" w:hAnsi="宋体" w:eastAsia="宋体"/>
          <w:b/>
          <w:bCs/>
          <w:sz w:val="24"/>
        </w:rPr>
      </w:pPr>
      <w:r>
        <w:rPr>
          <w:rFonts w:ascii="宋体" w:hAnsi="宋体" w:eastAsia="宋体"/>
          <w:b/>
          <w:bCs/>
          <w:sz w:val="24"/>
        </w:rPr>
        <w:drawing>
          <wp:inline distT="0" distB="0" distL="114300" distR="114300">
            <wp:extent cx="7999730" cy="4330700"/>
            <wp:effectExtent l="0" t="0" r="1270" b="12700"/>
            <wp:docPr id="8" name="图片 8" descr="运行图7：30-1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运行图7：30-10：30"/>
                    <pic:cNvPicPr>
                      <a:picLocks noChangeAspect="1"/>
                    </pic:cNvPicPr>
                  </pic:nvPicPr>
                  <pic:blipFill>
                    <a:blip r:embed="rId22"/>
                    <a:stretch>
                      <a:fillRect/>
                    </a:stretch>
                  </pic:blipFill>
                  <pic:spPr>
                    <a:xfrm>
                      <a:off x="0" y="0"/>
                      <a:ext cx="7999730" cy="4330700"/>
                    </a:xfrm>
                    <a:prstGeom prst="rect">
                      <a:avLst/>
                    </a:prstGeom>
                  </pic:spPr>
                </pic:pic>
              </a:graphicData>
            </a:graphic>
          </wp:inline>
        </w:drawing>
      </w:r>
    </w:p>
    <w:p>
      <w:pPr>
        <w:pStyle w:val="12"/>
        <w:outlineLvl w:val="0"/>
        <w:rPr>
          <w:rFonts w:hint="eastAsia"/>
        </w:rPr>
      </w:pPr>
      <w:r>
        <w:t xml:space="preserve">图 </w:t>
      </w:r>
      <w:r>
        <w:fldChar w:fldCharType="begin"/>
      </w:r>
      <w:r>
        <w:instrText xml:space="preserve"> SEQ 图 \* ARABIC </w:instrText>
      </w:r>
      <w:r>
        <w:fldChar w:fldCharType="separate"/>
      </w:r>
      <w:r>
        <w:t>1</w:t>
      </w:r>
      <w:r>
        <w:fldChar w:fldCharType="end"/>
      </w:r>
      <w:r>
        <w:rPr>
          <w:rFonts w:hint="eastAsia"/>
        </w:rPr>
        <w:t xml:space="preserve">  7:30-10:00</w:t>
      </w:r>
    </w:p>
    <w:p>
      <w:pPr>
        <w:rPr>
          <w:rFonts w:hint="eastAsia"/>
        </w:rPr>
      </w:pPr>
    </w:p>
    <w:p>
      <w:pPr>
        <w:pStyle w:val="2"/>
      </w:pPr>
    </w:p>
    <w:p>
      <w:pPr>
        <w:ind w:firstLine="0" w:firstLineChars="0"/>
      </w:pPr>
      <w:r>
        <w:drawing>
          <wp:inline distT="0" distB="0" distL="114300" distR="114300">
            <wp:extent cx="8126095" cy="4399280"/>
            <wp:effectExtent l="0" t="0" r="12065" b="5080"/>
            <wp:docPr id="9" name="图片 9" descr="运行图9：30-1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运行图9：30-12：00"/>
                    <pic:cNvPicPr>
                      <a:picLocks noChangeAspect="1"/>
                    </pic:cNvPicPr>
                  </pic:nvPicPr>
                  <pic:blipFill>
                    <a:blip r:embed="rId23"/>
                    <a:stretch>
                      <a:fillRect/>
                    </a:stretch>
                  </pic:blipFill>
                  <pic:spPr>
                    <a:xfrm>
                      <a:off x="0" y="0"/>
                      <a:ext cx="8126095" cy="4399280"/>
                    </a:xfrm>
                    <a:prstGeom prst="rect">
                      <a:avLst/>
                    </a:prstGeom>
                  </pic:spPr>
                </pic:pic>
              </a:graphicData>
            </a:graphic>
          </wp:inline>
        </w:drawing>
      </w:r>
    </w:p>
    <w:p>
      <w:pPr>
        <w:pStyle w:val="12"/>
        <w:rPr>
          <w:rFonts w:hint="eastAsia"/>
        </w:rPr>
      </w:pPr>
      <w:r>
        <w:t xml:space="preserve">图 </w:t>
      </w:r>
      <w:r>
        <w:fldChar w:fldCharType="begin"/>
      </w:r>
      <w:r>
        <w:instrText xml:space="preserve"> SEQ 图 \* ARABIC </w:instrText>
      </w:r>
      <w:r>
        <w:fldChar w:fldCharType="separate"/>
      </w:r>
      <w:r>
        <w:t>2</w:t>
      </w:r>
      <w:r>
        <w:fldChar w:fldCharType="end"/>
      </w:r>
      <w:r>
        <w:rPr>
          <w:rFonts w:hint="eastAsia"/>
        </w:rPr>
        <w:t xml:space="preserve">  9:30-12:00</w:t>
      </w:r>
    </w:p>
    <w:p>
      <w:pPr>
        <w:rPr>
          <w:rFonts w:hint="eastAsia"/>
        </w:rPr>
      </w:pPr>
    </w:p>
    <w:p>
      <w:pPr>
        <w:ind w:firstLine="0" w:firstLineChars="0"/>
      </w:pPr>
      <w:r>
        <w:drawing>
          <wp:inline distT="0" distB="0" distL="114300" distR="114300">
            <wp:extent cx="8077835" cy="5010150"/>
            <wp:effectExtent l="0" t="0" r="14605" b="3810"/>
            <wp:docPr id="10" name="图片 10" descr="11：50-1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11：50-14：00"/>
                    <pic:cNvPicPr>
                      <a:picLocks noChangeAspect="1"/>
                    </pic:cNvPicPr>
                  </pic:nvPicPr>
                  <pic:blipFill>
                    <a:blip r:embed="rId24"/>
                    <a:stretch>
                      <a:fillRect/>
                    </a:stretch>
                  </pic:blipFill>
                  <pic:spPr>
                    <a:xfrm>
                      <a:off x="0" y="0"/>
                      <a:ext cx="8077835" cy="5010150"/>
                    </a:xfrm>
                    <a:prstGeom prst="rect">
                      <a:avLst/>
                    </a:prstGeom>
                  </pic:spPr>
                </pic:pic>
              </a:graphicData>
            </a:graphic>
          </wp:inline>
        </w:drawing>
      </w:r>
    </w:p>
    <w:p>
      <w:pPr>
        <w:pStyle w:val="12"/>
        <w:rPr>
          <w:rFonts w:hint="eastAsia"/>
        </w:rPr>
      </w:pPr>
      <w:r>
        <w:t xml:space="preserve">图 </w:t>
      </w:r>
      <w:r>
        <w:fldChar w:fldCharType="begin"/>
      </w:r>
      <w:r>
        <w:instrText xml:space="preserve"> SEQ 图 \* ARABIC </w:instrText>
      </w:r>
      <w:r>
        <w:fldChar w:fldCharType="separate"/>
      </w:r>
      <w:r>
        <w:t>3</w:t>
      </w:r>
      <w:r>
        <w:fldChar w:fldCharType="end"/>
      </w:r>
      <w:r>
        <w:rPr>
          <w:rFonts w:hint="eastAsia"/>
        </w:rPr>
        <w:t xml:space="preserve">  11:50-14:00</w:t>
      </w:r>
    </w:p>
    <w:p/>
    <w:p>
      <w:pPr>
        <w:ind w:firstLine="0" w:firstLineChars="0"/>
      </w:pPr>
      <w:r>
        <w:drawing>
          <wp:inline distT="0" distB="0" distL="114300" distR="114300">
            <wp:extent cx="7943850" cy="4300220"/>
            <wp:effectExtent l="0" t="0" r="11430" b="12700"/>
            <wp:docPr id="11" name="图片 11" descr="12345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12345678"/>
                    <pic:cNvPicPr>
                      <a:picLocks noChangeAspect="1"/>
                    </pic:cNvPicPr>
                  </pic:nvPicPr>
                  <pic:blipFill>
                    <a:blip r:embed="rId25"/>
                    <a:stretch>
                      <a:fillRect/>
                    </a:stretch>
                  </pic:blipFill>
                  <pic:spPr>
                    <a:xfrm>
                      <a:off x="0" y="0"/>
                      <a:ext cx="7943850" cy="4300220"/>
                    </a:xfrm>
                    <a:prstGeom prst="rect">
                      <a:avLst/>
                    </a:prstGeom>
                  </pic:spPr>
                </pic:pic>
              </a:graphicData>
            </a:graphic>
          </wp:inline>
        </w:drawing>
      </w:r>
    </w:p>
    <w:p>
      <w:pPr>
        <w:pStyle w:val="12"/>
      </w:pPr>
      <w:r>
        <w:t xml:space="preserve">图 </w:t>
      </w:r>
      <w:r>
        <w:fldChar w:fldCharType="begin"/>
      </w:r>
      <w:r>
        <w:instrText xml:space="preserve"> SEQ 图 \* ARABIC </w:instrText>
      </w:r>
      <w:r>
        <w:fldChar w:fldCharType="separate"/>
      </w:r>
      <w:r>
        <w:t>4</w:t>
      </w:r>
      <w:r>
        <w:fldChar w:fldCharType="end"/>
      </w:r>
      <w:r>
        <w:rPr>
          <w:rFonts w:hint="eastAsia"/>
        </w:rPr>
        <w:t xml:space="preserve">  14:00-16:30</w:t>
      </w:r>
    </w:p>
    <w:p>
      <w:pPr>
        <w:pStyle w:val="2"/>
        <w:spacing w:after="0" w:line="590" w:lineRule="exact"/>
        <w:ind w:left="0" w:leftChars="0" w:right="0" w:rightChars="0" w:firstLine="0" w:firstLineChars="0"/>
        <w:rPr>
          <w:rFonts w:ascii="方正仿宋_GBK" w:hAnsi="方正仿宋_GBK" w:eastAsia="方正仿宋_GBK" w:cs="方正仿宋_GBK"/>
        </w:rPr>
      </w:pPr>
    </w:p>
    <w:sectPr>
      <w:pgSz w:w="16838" w:h="11906" w:orient="landscape"/>
      <w:pgMar w:top="1587" w:right="2098" w:bottom="1474" w:left="1984" w:header="397" w:footer="283" w:gutter="0"/>
      <w:cols w:space="425" w:num="1"/>
      <w:docGrid w:linePitch="435"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D54711B-A6B8-4A44-A041-9C8C464E33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仿宋">
    <w:panose1 w:val="02010609060101010101"/>
    <w:charset w:val="86"/>
    <w:family w:val="modern"/>
    <w:pitch w:val="default"/>
    <w:sig w:usb0="800002BF" w:usb1="38CF7CFA" w:usb2="00000016" w:usb3="00000000" w:csb0="00040001" w:csb1="00000000"/>
    <w:embedRegular r:id="rId2" w:fontKey="{C8BE2830-78AD-4D1F-B26C-F7396BAAE3AA}"/>
  </w:font>
  <w:font w:name="等线">
    <w:panose1 w:val="02010600030101010101"/>
    <w:charset w:val="86"/>
    <w:family w:val="auto"/>
    <w:pitch w:val="default"/>
    <w:sig w:usb0="A00002BF" w:usb1="38CF7CFA" w:usb2="00000016" w:usb3="00000000" w:csb0="0004000F" w:csb1="00000000"/>
  </w:font>
  <w:font w:name="仿宋_GB2312">
    <w:altName w:val="仿宋"/>
    <w:panose1 w:val="00000000000000000000"/>
    <w:charset w:val="86"/>
    <w:family w:val="modern"/>
    <w:pitch w:val="default"/>
    <w:sig w:usb0="00000000" w:usb1="00000000" w:usb2="00000000" w:usb3="00000000" w:csb0="00040000" w:csb1="00000000"/>
    <w:embedRegular r:id="rId3" w:fontKey="{10DFF0F9-619C-4FD7-89F4-47EBCC7F1DD0}"/>
  </w:font>
  <w:font w:name="Courier New">
    <w:panose1 w:val="02070309020205020404"/>
    <w:charset w:val="00"/>
    <w:family w:val="modern"/>
    <w:pitch w:val="default"/>
    <w:sig w:usb0="E0002EFF" w:usb1="C0007843" w:usb2="00000009" w:usb3="00000000" w:csb0="400001FF" w:csb1="FFFF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000247B" w:usb2="00000009" w:usb3="00000000" w:csb0="200001FF" w:csb1="00000000"/>
  </w:font>
  <w:font w:name="Microsoft YaHei UI">
    <w:panose1 w:val="020B0503020204020204"/>
    <w:charset w:val="86"/>
    <w:family w:val="swiss"/>
    <w:pitch w:val="default"/>
    <w:sig w:usb0="80000287" w:usb1="2ACF3C50" w:usb2="00000016" w:usb3="00000000" w:csb0="0004001F" w:csb1="00000000"/>
  </w:font>
  <w:font w:name="华文新魏">
    <w:panose1 w:val="02010800040101010101"/>
    <w:charset w:val="86"/>
    <w:family w:val="auto"/>
    <w:pitch w:val="default"/>
    <w:sig w:usb0="00000001" w:usb1="080F0000" w:usb2="00000000" w:usb3="00000000" w:csb0="00040000"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embedRegular r:id="rId4" w:fontKey="{56193847-F8DA-4A63-84B2-DF47BD8EE004}"/>
  </w:font>
  <w:font w:name="方正小标宋_GBK">
    <w:panose1 w:val="03000509000000000000"/>
    <w:charset w:val="86"/>
    <w:family w:val="script"/>
    <w:pitch w:val="default"/>
    <w:sig w:usb0="00000001" w:usb1="080E0000" w:usb2="00000000" w:usb3="00000000" w:csb0="00040000" w:csb1="00000000"/>
    <w:embedRegular r:id="rId5" w:fontKey="{440B721B-B697-45D8-A99D-FD6630AA53F4}"/>
  </w:font>
  <w:font w:name="方正黑体_GBK">
    <w:panose1 w:val="03000509000000000000"/>
    <w:charset w:val="86"/>
    <w:family w:val="script"/>
    <w:pitch w:val="default"/>
    <w:sig w:usb0="00000001" w:usb1="080E0000" w:usb2="00000000" w:usb3="00000000" w:csb0="00040000" w:csb1="00000000"/>
    <w:embedRegular r:id="rId6" w:fontKey="{2BB99EAB-5FF1-4D38-9CE4-7C5523087A9F}"/>
  </w:font>
  <w:font w:name="方正仿宋_GBK">
    <w:panose1 w:val="03000509000000000000"/>
    <w:charset w:val="86"/>
    <w:family w:val="script"/>
    <w:pitch w:val="default"/>
    <w:sig w:usb0="00000001" w:usb1="080E0000" w:usb2="00000000" w:usb3="00000000" w:csb0="00040000" w:csb1="00000000"/>
    <w:embedRegular r:id="rId7" w:fontKey="{56DFE68E-0663-433A-9E27-9B1E1B22ADCE}"/>
  </w:font>
  <w:font w:name="方正楷体_GBK">
    <w:panose1 w:val="03000509000000000000"/>
    <w:charset w:val="86"/>
    <w:family w:val="script"/>
    <w:pitch w:val="default"/>
    <w:sig w:usb0="00000001" w:usb1="080E0000" w:usb2="00000000" w:usb3="00000000" w:csb0="00040000" w:csb1="00000000"/>
    <w:embedRegular r:id="rId8" w:fontKey="{DD1D54DA-4B65-4026-B5A6-FC43AC4E944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ind w:firstLine="0" w:firstLineChars="0"/>
    </w:pPr>
  </w:p>
  <w:p>
    <w:pPr>
      <w:pStyle w:val="22"/>
      <w:ind w:firstLine="0" w:firstLineChars="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tabs>
        <w:tab w:val="center" w:pos="5233"/>
      </w:tabs>
      <w:ind w:firstLine="560"/>
    </w:pPr>
    <w:r>
      <w:rPr>
        <w:rFonts w:ascii="宋体" w:hAnsi="宋体"/>
        <w:sz w:val="28"/>
        <w:szCs w:val="28"/>
      </w:rPr>
      <w:t>—</w:t>
    </w: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62</w:t>
    </w:r>
    <w:r>
      <w:rPr>
        <w:sz w:val="28"/>
        <w:szCs w:val="28"/>
      </w:rPr>
      <w:fldChar w:fldCharType="end"/>
    </w:r>
    <w:r>
      <w:rPr>
        <w:rFonts w:ascii="宋体" w:hAnsi="宋体"/>
        <w:sz w:val="28"/>
        <w:szCs w:val="28"/>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ind w:firstLine="560"/>
    </w:pPr>
    <w:r>
      <w:rPr>
        <w:rFonts w:ascii="宋体" w:hAnsi="宋体"/>
        <w:sz w:val="28"/>
        <w:szCs w:val="28"/>
      </w:rPr>
      <w:t>—</w:t>
    </w: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5</w:t>
    </w:r>
    <w:r>
      <w:rPr>
        <w:sz w:val="28"/>
        <w:szCs w:val="28"/>
      </w:rPr>
      <w:fldChar w:fldCharType="end"/>
    </w:r>
    <w:r>
      <w:rPr>
        <w:rFonts w:ascii="宋体" w:hAnsi="宋体"/>
        <w:sz w:val="28"/>
        <w:szCs w:val="28"/>
      </w:rPr>
      <w:t>—</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ind w:firstLine="0" w:firstLineChars="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ind w:firstLine="360"/>
    </w:pPr>
  </w:p>
  <w:p>
    <w:pPr>
      <w:ind w:firstLine="64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640"/>
      </w:pPr>
      <w:r>
        <w:separator/>
      </w:r>
    </w:p>
  </w:footnote>
  <w:footnote w:type="continuationSeparator" w:id="1">
    <w:p>
      <w:pPr>
        <w:spacing w:line="36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64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ind w:firstLine="360"/>
    </w:pPr>
  </w:p>
  <w:p>
    <w:pPr>
      <w:ind w:firstLine="64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Bdr>
        <w:bottom w:val="none" w:color="auto" w:sz="0" w:space="0"/>
      </w:pBdr>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AF31B30"/>
    <w:multiLevelType w:val="multilevel"/>
    <w:tmpl w:val="7AF31B30"/>
    <w:lvl w:ilvl="0" w:tentative="0">
      <w:start w:val="1"/>
      <w:numFmt w:val="decimal"/>
      <w:pStyle w:val="3"/>
      <w:lvlText w:val="%1"/>
      <w:lvlJc w:val="left"/>
      <w:pPr>
        <w:ind w:left="432" w:hanging="432"/>
      </w:pPr>
    </w:lvl>
    <w:lvl w:ilvl="1" w:tentative="0">
      <w:start w:val="1"/>
      <w:numFmt w:val="decimal"/>
      <w:pStyle w:val="4"/>
      <w:lvlText w:val="%1.%2"/>
      <w:lvlJc w:val="left"/>
      <w:pPr>
        <w:ind w:left="1143" w:hanging="576"/>
      </w:pPr>
    </w:lvl>
    <w:lvl w:ilvl="2" w:tentative="0">
      <w:start w:val="1"/>
      <w:numFmt w:val="decimal"/>
      <w:pStyle w:val="5"/>
      <w:lvlText w:val="%1.%2.%3"/>
      <w:lvlJc w:val="left"/>
      <w:pPr>
        <w:ind w:left="720" w:hanging="720"/>
      </w:pPr>
    </w:lvl>
    <w:lvl w:ilvl="3" w:tentative="0">
      <w:start w:val="1"/>
      <w:numFmt w:val="decimal"/>
      <w:pStyle w:val="6"/>
      <w:lvlText w:val="%1.%2.%3.%4"/>
      <w:lvlJc w:val="left"/>
      <w:pPr>
        <w:ind w:left="864" w:hanging="864"/>
      </w:pPr>
    </w:lvl>
    <w:lvl w:ilvl="4" w:tentative="0">
      <w:start w:val="1"/>
      <w:numFmt w:val="decimal"/>
      <w:pStyle w:val="7"/>
      <w:lvlText w:val="%1.%2.%3.%4.%5"/>
      <w:lvlJc w:val="left"/>
      <w:pPr>
        <w:ind w:left="1008" w:hanging="1008"/>
      </w:pPr>
    </w:lvl>
    <w:lvl w:ilvl="5" w:tentative="0">
      <w:start w:val="1"/>
      <w:numFmt w:val="decimal"/>
      <w:pStyle w:val="8"/>
      <w:lvlText w:val="%1.%2.%3.%4.%5.%6"/>
      <w:lvlJc w:val="left"/>
      <w:pPr>
        <w:ind w:left="1152" w:hanging="1152"/>
      </w:pPr>
    </w:lvl>
    <w:lvl w:ilvl="6" w:tentative="0">
      <w:start w:val="1"/>
      <w:numFmt w:val="decimal"/>
      <w:pStyle w:val="9"/>
      <w:lvlText w:val="%1.%2.%3.%4.%5.%6.%7"/>
      <w:lvlJc w:val="left"/>
      <w:pPr>
        <w:ind w:left="1296" w:hanging="1296"/>
      </w:pPr>
    </w:lvl>
    <w:lvl w:ilvl="7" w:tentative="0">
      <w:start w:val="1"/>
      <w:numFmt w:val="decimal"/>
      <w:pStyle w:val="10"/>
      <w:lvlText w:val="%1.%2.%3.%4.%5.%6.%7.%8"/>
      <w:lvlJc w:val="left"/>
      <w:pPr>
        <w:ind w:left="1440" w:hanging="1440"/>
      </w:pPr>
    </w:lvl>
    <w:lvl w:ilvl="8" w:tentative="0">
      <w:start w:val="1"/>
      <w:numFmt w:val="decimal"/>
      <w:pStyle w:val="11"/>
      <w:lvlText w:val="%1.%2.%3.%4.%5.%6.%7.%8.%9"/>
      <w:lvlJc w:val="left"/>
      <w:pPr>
        <w:ind w:left="1584" w:hanging="1584"/>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hideSpellingErrors/>
  <w:documentProtection w:enforcement="0"/>
  <w:defaultTabStop w:val="420"/>
  <w:drawingGridHorizontalSpacing w:val="160"/>
  <w:drawingGridVerticalSpacing w:val="435"/>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VlMDNhZThkODAyMGQ3Y2UwOGJlMWFlZWZhNGM5OGUifQ=="/>
  </w:docVars>
  <w:rsids>
    <w:rsidRoot w:val="005D0F36"/>
    <w:rsid w:val="000003E4"/>
    <w:rsid w:val="00002AB0"/>
    <w:rsid w:val="00003993"/>
    <w:rsid w:val="00003CA7"/>
    <w:rsid w:val="00004C76"/>
    <w:rsid w:val="00007A25"/>
    <w:rsid w:val="00007B7C"/>
    <w:rsid w:val="00007F01"/>
    <w:rsid w:val="0001038E"/>
    <w:rsid w:val="00011B67"/>
    <w:rsid w:val="000132A2"/>
    <w:rsid w:val="0001418D"/>
    <w:rsid w:val="000147D9"/>
    <w:rsid w:val="00014F9D"/>
    <w:rsid w:val="00015B5C"/>
    <w:rsid w:val="00015F90"/>
    <w:rsid w:val="00017495"/>
    <w:rsid w:val="00017CC3"/>
    <w:rsid w:val="000201EB"/>
    <w:rsid w:val="00020ED5"/>
    <w:rsid w:val="00021889"/>
    <w:rsid w:val="000218CE"/>
    <w:rsid w:val="00022116"/>
    <w:rsid w:val="00022A1C"/>
    <w:rsid w:val="00023D27"/>
    <w:rsid w:val="00023EBA"/>
    <w:rsid w:val="000245E2"/>
    <w:rsid w:val="00025161"/>
    <w:rsid w:val="00027DAA"/>
    <w:rsid w:val="00030AAD"/>
    <w:rsid w:val="00030B46"/>
    <w:rsid w:val="0003149A"/>
    <w:rsid w:val="00031D4E"/>
    <w:rsid w:val="00032529"/>
    <w:rsid w:val="0003315B"/>
    <w:rsid w:val="0003323A"/>
    <w:rsid w:val="0003388E"/>
    <w:rsid w:val="000345EF"/>
    <w:rsid w:val="00034C8F"/>
    <w:rsid w:val="00042196"/>
    <w:rsid w:val="00042387"/>
    <w:rsid w:val="00046480"/>
    <w:rsid w:val="00047BC4"/>
    <w:rsid w:val="000504C5"/>
    <w:rsid w:val="00051D73"/>
    <w:rsid w:val="000523E2"/>
    <w:rsid w:val="00053879"/>
    <w:rsid w:val="000546AD"/>
    <w:rsid w:val="00054866"/>
    <w:rsid w:val="000566DD"/>
    <w:rsid w:val="000569D3"/>
    <w:rsid w:val="00056BE3"/>
    <w:rsid w:val="00057786"/>
    <w:rsid w:val="000601F0"/>
    <w:rsid w:val="000608C1"/>
    <w:rsid w:val="00060B5E"/>
    <w:rsid w:val="00061097"/>
    <w:rsid w:val="00062391"/>
    <w:rsid w:val="00062832"/>
    <w:rsid w:val="00062C5C"/>
    <w:rsid w:val="00063128"/>
    <w:rsid w:val="00063800"/>
    <w:rsid w:val="00063B7D"/>
    <w:rsid w:val="00066403"/>
    <w:rsid w:val="00066C4A"/>
    <w:rsid w:val="00071947"/>
    <w:rsid w:val="0007199C"/>
    <w:rsid w:val="0007395F"/>
    <w:rsid w:val="00075780"/>
    <w:rsid w:val="000763D1"/>
    <w:rsid w:val="00076AC4"/>
    <w:rsid w:val="00076BF1"/>
    <w:rsid w:val="0008114A"/>
    <w:rsid w:val="00082039"/>
    <w:rsid w:val="000859FB"/>
    <w:rsid w:val="000872A4"/>
    <w:rsid w:val="000920AB"/>
    <w:rsid w:val="00092153"/>
    <w:rsid w:val="0009244E"/>
    <w:rsid w:val="00092CE5"/>
    <w:rsid w:val="0009326B"/>
    <w:rsid w:val="0009377F"/>
    <w:rsid w:val="000950E8"/>
    <w:rsid w:val="00096BFC"/>
    <w:rsid w:val="000A2CC5"/>
    <w:rsid w:val="000A3B04"/>
    <w:rsid w:val="000A6190"/>
    <w:rsid w:val="000A69ED"/>
    <w:rsid w:val="000A7182"/>
    <w:rsid w:val="000B031B"/>
    <w:rsid w:val="000B043F"/>
    <w:rsid w:val="000B109D"/>
    <w:rsid w:val="000B2C58"/>
    <w:rsid w:val="000B2DA0"/>
    <w:rsid w:val="000B56BB"/>
    <w:rsid w:val="000B6602"/>
    <w:rsid w:val="000B72B0"/>
    <w:rsid w:val="000B7CF4"/>
    <w:rsid w:val="000C1994"/>
    <w:rsid w:val="000C2760"/>
    <w:rsid w:val="000C2B6E"/>
    <w:rsid w:val="000C3A4E"/>
    <w:rsid w:val="000C4C96"/>
    <w:rsid w:val="000C524F"/>
    <w:rsid w:val="000C75BD"/>
    <w:rsid w:val="000D25A3"/>
    <w:rsid w:val="000D2BD6"/>
    <w:rsid w:val="000D3361"/>
    <w:rsid w:val="000D3906"/>
    <w:rsid w:val="000D3ABC"/>
    <w:rsid w:val="000D430D"/>
    <w:rsid w:val="000D4CED"/>
    <w:rsid w:val="000D5921"/>
    <w:rsid w:val="000D613D"/>
    <w:rsid w:val="000D73D4"/>
    <w:rsid w:val="000D7751"/>
    <w:rsid w:val="000D7CDC"/>
    <w:rsid w:val="000D7F22"/>
    <w:rsid w:val="000E043C"/>
    <w:rsid w:val="000E0A57"/>
    <w:rsid w:val="000E368D"/>
    <w:rsid w:val="000E4045"/>
    <w:rsid w:val="000E5F3F"/>
    <w:rsid w:val="000F039B"/>
    <w:rsid w:val="000F061F"/>
    <w:rsid w:val="000F0D8E"/>
    <w:rsid w:val="000F14BE"/>
    <w:rsid w:val="000F1668"/>
    <w:rsid w:val="000F1817"/>
    <w:rsid w:val="000F2694"/>
    <w:rsid w:val="000F6CE3"/>
    <w:rsid w:val="00104402"/>
    <w:rsid w:val="0010611A"/>
    <w:rsid w:val="00107054"/>
    <w:rsid w:val="00110013"/>
    <w:rsid w:val="00110AB7"/>
    <w:rsid w:val="001168D5"/>
    <w:rsid w:val="00117836"/>
    <w:rsid w:val="00120E27"/>
    <w:rsid w:val="00120FF6"/>
    <w:rsid w:val="0012215D"/>
    <w:rsid w:val="00122919"/>
    <w:rsid w:val="00123A68"/>
    <w:rsid w:val="0012651B"/>
    <w:rsid w:val="00127451"/>
    <w:rsid w:val="00127C92"/>
    <w:rsid w:val="00130D77"/>
    <w:rsid w:val="00132113"/>
    <w:rsid w:val="001363FE"/>
    <w:rsid w:val="00136540"/>
    <w:rsid w:val="001369E1"/>
    <w:rsid w:val="00137B09"/>
    <w:rsid w:val="00141198"/>
    <w:rsid w:val="00142C2C"/>
    <w:rsid w:val="00144DF7"/>
    <w:rsid w:val="00150E0A"/>
    <w:rsid w:val="0015107C"/>
    <w:rsid w:val="001526CC"/>
    <w:rsid w:val="00154E83"/>
    <w:rsid w:val="00155D7C"/>
    <w:rsid w:val="001568FB"/>
    <w:rsid w:val="00156B94"/>
    <w:rsid w:val="00156B9F"/>
    <w:rsid w:val="00157DA9"/>
    <w:rsid w:val="00157DED"/>
    <w:rsid w:val="0016114A"/>
    <w:rsid w:val="00161350"/>
    <w:rsid w:val="00161A6C"/>
    <w:rsid w:val="001631C5"/>
    <w:rsid w:val="001638AB"/>
    <w:rsid w:val="0016509E"/>
    <w:rsid w:val="00165D1C"/>
    <w:rsid w:val="00167A27"/>
    <w:rsid w:val="0017114B"/>
    <w:rsid w:val="00172844"/>
    <w:rsid w:val="001730ED"/>
    <w:rsid w:val="0017532C"/>
    <w:rsid w:val="001773F6"/>
    <w:rsid w:val="001775C0"/>
    <w:rsid w:val="001779CB"/>
    <w:rsid w:val="001800A8"/>
    <w:rsid w:val="001802D2"/>
    <w:rsid w:val="00181794"/>
    <w:rsid w:val="00182975"/>
    <w:rsid w:val="00182AEC"/>
    <w:rsid w:val="0018359E"/>
    <w:rsid w:val="00186B1D"/>
    <w:rsid w:val="00192788"/>
    <w:rsid w:val="00194B52"/>
    <w:rsid w:val="00195C61"/>
    <w:rsid w:val="001A2BF1"/>
    <w:rsid w:val="001B04E7"/>
    <w:rsid w:val="001B07CA"/>
    <w:rsid w:val="001B1600"/>
    <w:rsid w:val="001B284A"/>
    <w:rsid w:val="001B2B87"/>
    <w:rsid w:val="001B352B"/>
    <w:rsid w:val="001B4585"/>
    <w:rsid w:val="001B46CE"/>
    <w:rsid w:val="001B53AF"/>
    <w:rsid w:val="001B5696"/>
    <w:rsid w:val="001B60E2"/>
    <w:rsid w:val="001B6EE8"/>
    <w:rsid w:val="001B7FAA"/>
    <w:rsid w:val="001C03DB"/>
    <w:rsid w:val="001C07E5"/>
    <w:rsid w:val="001C36F6"/>
    <w:rsid w:val="001C3A2C"/>
    <w:rsid w:val="001C4130"/>
    <w:rsid w:val="001C43F0"/>
    <w:rsid w:val="001C5DE3"/>
    <w:rsid w:val="001C78EE"/>
    <w:rsid w:val="001D2ECB"/>
    <w:rsid w:val="001D31A9"/>
    <w:rsid w:val="001D3D25"/>
    <w:rsid w:val="001D6355"/>
    <w:rsid w:val="001D70DA"/>
    <w:rsid w:val="001E02BC"/>
    <w:rsid w:val="001E1F4F"/>
    <w:rsid w:val="001E22E1"/>
    <w:rsid w:val="001E2716"/>
    <w:rsid w:val="001E3849"/>
    <w:rsid w:val="001E41AE"/>
    <w:rsid w:val="001E4EE2"/>
    <w:rsid w:val="001E7302"/>
    <w:rsid w:val="001F0B4D"/>
    <w:rsid w:val="001F0C1F"/>
    <w:rsid w:val="001F1704"/>
    <w:rsid w:val="001F2B9A"/>
    <w:rsid w:val="001F3301"/>
    <w:rsid w:val="001F3535"/>
    <w:rsid w:val="001F3D8F"/>
    <w:rsid w:val="001F41DF"/>
    <w:rsid w:val="001F49F3"/>
    <w:rsid w:val="00201391"/>
    <w:rsid w:val="00201791"/>
    <w:rsid w:val="00204988"/>
    <w:rsid w:val="002055C2"/>
    <w:rsid w:val="0020750A"/>
    <w:rsid w:val="002078EB"/>
    <w:rsid w:val="00210160"/>
    <w:rsid w:val="00215D3D"/>
    <w:rsid w:val="00216535"/>
    <w:rsid w:val="002166C1"/>
    <w:rsid w:val="00216C99"/>
    <w:rsid w:val="002204BF"/>
    <w:rsid w:val="00221CB3"/>
    <w:rsid w:val="00222224"/>
    <w:rsid w:val="00223CC0"/>
    <w:rsid w:val="00224385"/>
    <w:rsid w:val="00225619"/>
    <w:rsid w:val="002259A3"/>
    <w:rsid w:val="00225BE2"/>
    <w:rsid w:val="00227473"/>
    <w:rsid w:val="00231CA8"/>
    <w:rsid w:val="00232191"/>
    <w:rsid w:val="00232711"/>
    <w:rsid w:val="00232EA2"/>
    <w:rsid w:val="0023330F"/>
    <w:rsid w:val="00233680"/>
    <w:rsid w:val="00234566"/>
    <w:rsid w:val="00236588"/>
    <w:rsid w:val="00236643"/>
    <w:rsid w:val="00236CB6"/>
    <w:rsid w:val="002407E5"/>
    <w:rsid w:val="002417C8"/>
    <w:rsid w:val="002433FB"/>
    <w:rsid w:val="00246D9E"/>
    <w:rsid w:val="002505D7"/>
    <w:rsid w:val="00250C26"/>
    <w:rsid w:val="002512CD"/>
    <w:rsid w:val="002529E5"/>
    <w:rsid w:val="00252C9A"/>
    <w:rsid w:val="002530E7"/>
    <w:rsid w:val="00253C65"/>
    <w:rsid w:val="00254051"/>
    <w:rsid w:val="0025444C"/>
    <w:rsid w:val="002607A9"/>
    <w:rsid w:val="00261AEA"/>
    <w:rsid w:val="00262797"/>
    <w:rsid w:val="00262BFA"/>
    <w:rsid w:val="00263BB5"/>
    <w:rsid w:val="0026413F"/>
    <w:rsid w:val="00264C81"/>
    <w:rsid w:val="00264D37"/>
    <w:rsid w:val="00267127"/>
    <w:rsid w:val="0026767C"/>
    <w:rsid w:val="00270403"/>
    <w:rsid w:val="00270C0E"/>
    <w:rsid w:val="00274847"/>
    <w:rsid w:val="00276AC7"/>
    <w:rsid w:val="00277AD9"/>
    <w:rsid w:val="00280842"/>
    <w:rsid w:val="00281674"/>
    <w:rsid w:val="00281B33"/>
    <w:rsid w:val="00282560"/>
    <w:rsid w:val="00282A0C"/>
    <w:rsid w:val="00283593"/>
    <w:rsid w:val="002841F3"/>
    <w:rsid w:val="00285D89"/>
    <w:rsid w:val="00286111"/>
    <w:rsid w:val="00286906"/>
    <w:rsid w:val="00286CBA"/>
    <w:rsid w:val="00286DD3"/>
    <w:rsid w:val="002872FC"/>
    <w:rsid w:val="002904B9"/>
    <w:rsid w:val="002923F2"/>
    <w:rsid w:val="0029248B"/>
    <w:rsid w:val="00292538"/>
    <w:rsid w:val="00294DB0"/>
    <w:rsid w:val="00294DDD"/>
    <w:rsid w:val="00295D5D"/>
    <w:rsid w:val="0029690D"/>
    <w:rsid w:val="0029705B"/>
    <w:rsid w:val="00297CBD"/>
    <w:rsid w:val="002A0E01"/>
    <w:rsid w:val="002A12B9"/>
    <w:rsid w:val="002A1B6A"/>
    <w:rsid w:val="002B002D"/>
    <w:rsid w:val="002B10AE"/>
    <w:rsid w:val="002B16C1"/>
    <w:rsid w:val="002B29C7"/>
    <w:rsid w:val="002B3244"/>
    <w:rsid w:val="002B3CA4"/>
    <w:rsid w:val="002B7412"/>
    <w:rsid w:val="002C0323"/>
    <w:rsid w:val="002C1444"/>
    <w:rsid w:val="002C18B4"/>
    <w:rsid w:val="002C2912"/>
    <w:rsid w:val="002C4DE1"/>
    <w:rsid w:val="002C50B6"/>
    <w:rsid w:val="002C5566"/>
    <w:rsid w:val="002C5ED3"/>
    <w:rsid w:val="002C6621"/>
    <w:rsid w:val="002C7F5B"/>
    <w:rsid w:val="002D0CD1"/>
    <w:rsid w:val="002D117B"/>
    <w:rsid w:val="002D13C1"/>
    <w:rsid w:val="002D2CD6"/>
    <w:rsid w:val="002D2E82"/>
    <w:rsid w:val="002D3F6B"/>
    <w:rsid w:val="002D53AF"/>
    <w:rsid w:val="002D5883"/>
    <w:rsid w:val="002D7D4A"/>
    <w:rsid w:val="002E06CC"/>
    <w:rsid w:val="002E170A"/>
    <w:rsid w:val="002E2FDA"/>
    <w:rsid w:val="002E387A"/>
    <w:rsid w:val="002E3D0C"/>
    <w:rsid w:val="002E7076"/>
    <w:rsid w:val="002E73C8"/>
    <w:rsid w:val="002E743B"/>
    <w:rsid w:val="002F081E"/>
    <w:rsid w:val="002F0E72"/>
    <w:rsid w:val="002F1C57"/>
    <w:rsid w:val="002F33BA"/>
    <w:rsid w:val="002F3553"/>
    <w:rsid w:val="002F40BE"/>
    <w:rsid w:val="002F4845"/>
    <w:rsid w:val="002F5F5D"/>
    <w:rsid w:val="002F69CB"/>
    <w:rsid w:val="002F712B"/>
    <w:rsid w:val="002F7186"/>
    <w:rsid w:val="002F780D"/>
    <w:rsid w:val="00300015"/>
    <w:rsid w:val="003003AD"/>
    <w:rsid w:val="00300627"/>
    <w:rsid w:val="00302AB0"/>
    <w:rsid w:val="00303661"/>
    <w:rsid w:val="003039A9"/>
    <w:rsid w:val="003041DF"/>
    <w:rsid w:val="003049B9"/>
    <w:rsid w:val="00305A33"/>
    <w:rsid w:val="00305A72"/>
    <w:rsid w:val="0030750E"/>
    <w:rsid w:val="00310672"/>
    <w:rsid w:val="00312715"/>
    <w:rsid w:val="00312D46"/>
    <w:rsid w:val="00314351"/>
    <w:rsid w:val="00314C08"/>
    <w:rsid w:val="0031667F"/>
    <w:rsid w:val="003169FD"/>
    <w:rsid w:val="00316F1F"/>
    <w:rsid w:val="00320BD0"/>
    <w:rsid w:val="00320E92"/>
    <w:rsid w:val="003213C8"/>
    <w:rsid w:val="003219EC"/>
    <w:rsid w:val="00321E42"/>
    <w:rsid w:val="00322039"/>
    <w:rsid w:val="00322AE0"/>
    <w:rsid w:val="00323B61"/>
    <w:rsid w:val="00324472"/>
    <w:rsid w:val="00325E73"/>
    <w:rsid w:val="00331035"/>
    <w:rsid w:val="00331829"/>
    <w:rsid w:val="00334086"/>
    <w:rsid w:val="0033467A"/>
    <w:rsid w:val="00334FA4"/>
    <w:rsid w:val="00335C27"/>
    <w:rsid w:val="00335D16"/>
    <w:rsid w:val="00335E7A"/>
    <w:rsid w:val="00335F00"/>
    <w:rsid w:val="003403F4"/>
    <w:rsid w:val="003408A7"/>
    <w:rsid w:val="003412FA"/>
    <w:rsid w:val="00341481"/>
    <w:rsid w:val="00342A98"/>
    <w:rsid w:val="00344DFB"/>
    <w:rsid w:val="00345D91"/>
    <w:rsid w:val="00347975"/>
    <w:rsid w:val="00351BB5"/>
    <w:rsid w:val="00351C03"/>
    <w:rsid w:val="0035258F"/>
    <w:rsid w:val="00354E07"/>
    <w:rsid w:val="00354EF5"/>
    <w:rsid w:val="00354FF5"/>
    <w:rsid w:val="00357423"/>
    <w:rsid w:val="00360B8E"/>
    <w:rsid w:val="00365EF6"/>
    <w:rsid w:val="003669EB"/>
    <w:rsid w:val="00366D9B"/>
    <w:rsid w:val="003675BE"/>
    <w:rsid w:val="00367D8A"/>
    <w:rsid w:val="00370BDD"/>
    <w:rsid w:val="00371865"/>
    <w:rsid w:val="00372017"/>
    <w:rsid w:val="0037285F"/>
    <w:rsid w:val="00372BE7"/>
    <w:rsid w:val="00373098"/>
    <w:rsid w:val="00373660"/>
    <w:rsid w:val="00373E0D"/>
    <w:rsid w:val="00374864"/>
    <w:rsid w:val="00374D24"/>
    <w:rsid w:val="003759E5"/>
    <w:rsid w:val="00377482"/>
    <w:rsid w:val="003814F8"/>
    <w:rsid w:val="00383CC8"/>
    <w:rsid w:val="00385F1A"/>
    <w:rsid w:val="00386662"/>
    <w:rsid w:val="00386BC6"/>
    <w:rsid w:val="003879BA"/>
    <w:rsid w:val="00390640"/>
    <w:rsid w:val="0039122C"/>
    <w:rsid w:val="00391651"/>
    <w:rsid w:val="00393EA3"/>
    <w:rsid w:val="003944E1"/>
    <w:rsid w:val="00394DA2"/>
    <w:rsid w:val="00396B68"/>
    <w:rsid w:val="0039771E"/>
    <w:rsid w:val="003A0A24"/>
    <w:rsid w:val="003A0F7F"/>
    <w:rsid w:val="003A1926"/>
    <w:rsid w:val="003A265B"/>
    <w:rsid w:val="003A4908"/>
    <w:rsid w:val="003A5775"/>
    <w:rsid w:val="003A7090"/>
    <w:rsid w:val="003A7102"/>
    <w:rsid w:val="003A74AE"/>
    <w:rsid w:val="003A7B22"/>
    <w:rsid w:val="003B0025"/>
    <w:rsid w:val="003B0FB2"/>
    <w:rsid w:val="003B1D06"/>
    <w:rsid w:val="003B38C6"/>
    <w:rsid w:val="003B3D78"/>
    <w:rsid w:val="003B4B65"/>
    <w:rsid w:val="003B59A1"/>
    <w:rsid w:val="003B62B6"/>
    <w:rsid w:val="003C1633"/>
    <w:rsid w:val="003C6F5D"/>
    <w:rsid w:val="003C7781"/>
    <w:rsid w:val="003D106F"/>
    <w:rsid w:val="003D1740"/>
    <w:rsid w:val="003D3067"/>
    <w:rsid w:val="003D3BEB"/>
    <w:rsid w:val="003D4FB5"/>
    <w:rsid w:val="003D50CE"/>
    <w:rsid w:val="003D65B6"/>
    <w:rsid w:val="003D7B91"/>
    <w:rsid w:val="003D7D35"/>
    <w:rsid w:val="003E1047"/>
    <w:rsid w:val="003E1492"/>
    <w:rsid w:val="003E2893"/>
    <w:rsid w:val="003E29C3"/>
    <w:rsid w:val="003E35C2"/>
    <w:rsid w:val="003E385C"/>
    <w:rsid w:val="003E45D8"/>
    <w:rsid w:val="003E45DC"/>
    <w:rsid w:val="003E5998"/>
    <w:rsid w:val="003F0B35"/>
    <w:rsid w:val="003F11BC"/>
    <w:rsid w:val="003F4ABD"/>
    <w:rsid w:val="003F4C7A"/>
    <w:rsid w:val="003F5198"/>
    <w:rsid w:val="003F560C"/>
    <w:rsid w:val="003F5C32"/>
    <w:rsid w:val="003F6250"/>
    <w:rsid w:val="003F712C"/>
    <w:rsid w:val="003F7A93"/>
    <w:rsid w:val="0040014E"/>
    <w:rsid w:val="004006A4"/>
    <w:rsid w:val="00400B0F"/>
    <w:rsid w:val="00401266"/>
    <w:rsid w:val="0040139C"/>
    <w:rsid w:val="00401CDB"/>
    <w:rsid w:val="004024E3"/>
    <w:rsid w:val="004038E5"/>
    <w:rsid w:val="00404368"/>
    <w:rsid w:val="00405350"/>
    <w:rsid w:val="00405A6A"/>
    <w:rsid w:val="00405DF6"/>
    <w:rsid w:val="00407C71"/>
    <w:rsid w:val="00414915"/>
    <w:rsid w:val="00414DB3"/>
    <w:rsid w:val="0041598A"/>
    <w:rsid w:val="004174E1"/>
    <w:rsid w:val="00420857"/>
    <w:rsid w:val="0042114D"/>
    <w:rsid w:val="00422FA5"/>
    <w:rsid w:val="0042468C"/>
    <w:rsid w:val="00425C8B"/>
    <w:rsid w:val="00426A31"/>
    <w:rsid w:val="004275D9"/>
    <w:rsid w:val="00427D63"/>
    <w:rsid w:val="00427DD7"/>
    <w:rsid w:val="00430013"/>
    <w:rsid w:val="004310E4"/>
    <w:rsid w:val="00432002"/>
    <w:rsid w:val="0043259A"/>
    <w:rsid w:val="00432687"/>
    <w:rsid w:val="00433E1D"/>
    <w:rsid w:val="0043462B"/>
    <w:rsid w:val="0043512F"/>
    <w:rsid w:val="00436B62"/>
    <w:rsid w:val="00437EC2"/>
    <w:rsid w:val="00440B5F"/>
    <w:rsid w:val="00441637"/>
    <w:rsid w:val="0044291E"/>
    <w:rsid w:val="00443C41"/>
    <w:rsid w:val="00443E81"/>
    <w:rsid w:val="004470AF"/>
    <w:rsid w:val="00450001"/>
    <w:rsid w:val="00450B2D"/>
    <w:rsid w:val="00450EEA"/>
    <w:rsid w:val="00451268"/>
    <w:rsid w:val="0045145F"/>
    <w:rsid w:val="00451492"/>
    <w:rsid w:val="00451BD7"/>
    <w:rsid w:val="004526E9"/>
    <w:rsid w:val="00453D0D"/>
    <w:rsid w:val="0045775F"/>
    <w:rsid w:val="00457ED6"/>
    <w:rsid w:val="00461BAA"/>
    <w:rsid w:val="00461CEF"/>
    <w:rsid w:val="00463D51"/>
    <w:rsid w:val="004643EE"/>
    <w:rsid w:val="00467990"/>
    <w:rsid w:val="004711F0"/>
    <w:rsid w:val="00472632"/>
    <w:rsid w:val="00472D4D"/>
    <w:rsid w:val="004735E2"/>
    <w:rsid w:val="00473F2C"/>
    <w:rsid w:val="00474040"/>
    <w:rsid w:val="00474446"/>
    <w:rsid w:val="004744BF"/>
    <w:rsid w:val="004758D3"/>
    <w:rsid w:val="004766EE"/>
    <w:rsid w:val="00480EDC"/>
    <w:rsid w:val="00482BF2"/>
    <w:rsid w:val="00484431"/>
    <w:rsid w:val="00487D98"/>
    <w:rsid w:val="0049015F"/>
    <w:rsid w:val="004908F0"/>
    <w:rsid w:val="00490CA5"/>
    <w:rsid w:val="00491A6F"/>
    <w:rsid w:val="004922DD"/>
    <w:rsid w:val="004925BD"/>
    <w:rsid w:val="004931BB"/>
    <w:rsid w:val="0049395C"/>
    <w:rsid w:val="00493D31"/>
    <w:rsid w:val="00495284"/>
    <w:rsid w:val="00495628"/>
    <w:rsid w:val="00495E99"/>
    <w:rsid w:val="00496829"/>
    <w:rsid w:val="00497BED"/>
    <w:rsid w:val="004A045E"/>
    <w:rsid w:val="004A17B6"/>
    <w:rsid w:val="004A3BC6"/>
    <w:rsid w:val="004A514E"/>
    <w:rsid w:val="004A52EA"/>
    <w:rsid w:val="004A576F"/>
    <w:rsid w:val="004A5FB4"/>
    <w:rsid w:val="004A7B3E"/>
    <w:rsid w:val="004B005B"/>
    <w:rsid w:val="004B0447"/>
    <w:rsid w:val="004B0BB4"/>
    <w:rsid w:val="004B1958"/>
    <w:rsid w:val="004B1B1C"/>
    <w:rsid w:val="004B27F3"/>
    <w:rsid w:val="004B3564"/>
    <w:rsid w:val="004B39E1"/>
    <w:rsid w:val="004B485C"/>
    <w:rsid w:val="004B61B8"/>
    <w:rsid w:val="004B7689"/>
    <w:rsid w:val="004C0458"/>
    <w:rsid w:val="004C3500"/>
    <w:rsid w:val="004C43D8"/>
    <w:rsid w:val="004C7956"/>
    <w:rsid w:val="004D1938"/>
    <w:rsid w:val="004D2E22"/>
    <w:rsid w:val="004D2E65"/>
    <w:rsid w:val="004D3E3C"/>
    <w:rsid w:val="004D4A7A"/>
    <w:rsid w:val="004D5330"/>
    <w:rsid w:val="004D588F"/>
    <w:rsid w:val="004D6FDB"/>
    <w:rsid w:val="004D7EFB"/>
    <w:rsid w:val="004E15B2"/>
    <w:rsid w:val="004E25A2"/>
    <w:rsid w:val="004E4173"/>
    <w:rsid w:val="004E5AB3"/>
    <w:rsid w:val="004E74EC"/>
    <w:rsid w:val="004E7EDC"/>
    <w:rsid w:val="004F0700"/>
    <w:rsid w:val="004F1E0D"/>
    <w:rsid w:val="004F56A6"/>
    <w:rsid w:val="004F61F2"/>
    <w:rsid w:val="005013CD"/>
    <w:rsid w:val="0050150D"/>
    <w:rsid w:val="0050191D"/>
    <w:rsid w:val="00501A80"/>
    <w:rsid w:val="005040D8"/>
    <w:rsid w:val="00504ED0"/>
    <w:rsid w:val="00506765"/>
    <w:rsid w:val="005101B6"/>
    <w:rsid w:val="00510C84"/>
    <w:rsid w:val="0051371D"/>
    <w:rsid w:val="00514BE7"/>
    <w:rsid w:val="00516F2E"/>
    <w:rsid w:val="0051766E"/>
    <w:rsid w:val="00517B92"/>
    <w:rsid w:val="00517DA0"/>
    <w:rsid w:val="00517F58"/>
    <w:rsid w:val="00520725"/>
    <w:rsid w:val="00521388"/>
    <w:rsid w:val="00521F39"/>
    <w:rsid w:val="00522394"/>
    <w:rsid w:val="00522605"/>
    <w:rsid w:val="00524A19"/>
    <w:rsid w:val="00524A67"/>
    <w:rsid w:val="00524C4C"/>
    <w:rsid w:val="0053048B"/>
    <w:rsid w:val="005309F9"/>
    <w:rsid w:val="00531907"/>
    <w:rsid w:val="00534070"/>
    <w:rsid w:val="005346F7"/>
    <w:rsid w:val="005370AF"/>
    <w:rsid w:val="005374F3"/>
    <w:rsid w:val="0053794A"/>
    <w:rsid w:val="005416BB"/>
    <w:rsid w:val="0054243F"/>
    <w:rsid w:val="00543B2A"/>
    <w:rsid w:val="005446DB"/>
    <w:rsid w:val="00545B25"/>
    <w:rsid w:val="00545CBC"/>
    <w:rsid w:val="005462B7"/>
    <w:rsid w:val="00546A43"/>
    <w:rsid w:val="00547464"/>
    <w:rsid w:val="0055114B"/>
    <w:rsid w:val="00551358"/>
    <w:rsid w:val="005563FA"/>
    <w:rsid w:val="0055664E"/>
    <w:rsid w:val="00556A6E"/>
    <w:rsid w:val="005577C8"/>
    <w:rsid w:val="00561107"/>
    <w:rsid w:val="00562552"/>
    <w:rsid w:val="0056292C"/>
    <w:rsid w:val="00562B51"/>
    <w:rsid w:val="00564533"/>
    <w:rsid w:val="0056713F"/>
    <w:rsid w:val="00570038"/>
    <w:rsid w:val="005706A1"/>
    <w:rsid w:val="00571860"/>
    <w:rsid w:val="00572B08"/>
    <w:rsid w:val="005736A7"/>
    <w:rsid w:val="00573C94"/>
    <w:rsid w:val="005747D5"/>
    <w:rsid w:val="005760DA"/>
    <w:rsid w:val="00577B94"/>
    <w:rsid w:val="00581CFF"/>
    <w:rsid w:val="00582267"/>
    <w:rsid w:val="00582E72"/>
    <w:rsid w:val="00583164"/>
    <w:rsid w:val="00583844"/>
    <w:rsid w:val="00584CEB"/>
    <w:rsid w:val="00585035"/>
    <w:rsid w:val="00585BD5"/>
    <w:rsid w:val="00585D1C"/>
    <w:rsid w:val="00586062"/>
    <w:rsid w:val="005923FA"/>
    <w:rsid w:val="005936DC"/>
    <w:rsid w:val="0059376C"/>
    <w:rsid w:val="0059490B"/>
    <w:rsid w:val="00594F20"/>
    <w:rsid w:val="0059574D"/>
    <w:rsid w:val="00596C24"/>
    <w:rsid w:val="00597C62"/>
    <w:rsid w:val="005A1E88"/>
    <w:rsid w:val="005A23CE"/>
    <w:rsid w:val="005A4AEE"/>
    <w:rsid w:val="005A4E44"/>
    <w:rsid w:val="005B01ED"/>
    <w:rsid w:val="005B11C8"/>
    <w:rsid w:val="005B1222"/>
    <w:rsid w:val="005B2A88"/>
    <w:rsid w:val="005B2BC6"/>
    <w:rsid w:val="005B40F2"/>
    <w:rsid w:val="005B452C"/>
    <w:rsid w:val="005B4924"/>
    <w:rsid w:val="005B4B05"/>
    <w:rsid w:val="005B5F01"/>
    <w:rsid w:val="005B72B2"/>
    <w:rsid w:val="005B740C"/>
    <w:rsid w:val="005C3780"/>
    <w:rsid w:val="005C4E79"/>
    <w:rsid w:val="005C57E2"/>
    <w:rsid w:val="005C7E7F"/>
    <w:rsid w:val="005C7F3F"/>
    <w:rsid w:val="005D0F36"/>
    <w:rsid w:val="005D313B"/>
    <w:rsid w:val="005D4D78"/>
    <w:rsid w:val="005D7747"/>
    <w:rsid w:val="005E0117"/>
    <w:rsid w:val="005E14AE"/>
    <w:rsid w:val="005E28D1"/>
    <w:rsid w:val="005E3828"/>
    <w:rsid w:val="005E3D65"/>
    <w:rsid w:val="005E3FC6"/>
    <w:rsid w:val="005E56F8"/>
    <w:rsid w:val="005E669B"/>
    <w:rsid w:val="005E6798"/>
    <w:rsid w:val="005E69E5"/>
    <w:rsid w:val="005F20D8"/>
    <w:rsid w:val="005F38B0"/>
    <w:rsid w:val="005F4988"/>
    <w:rsid w:val="005F49BA"/>
    <w:rsid w:val="005F4D9F"/>
    <w:rsid w:val="005F5250"/>
    <w:rsid w:val="005F56AE"/>
    <w:rsid w:val="005F7902"/>
    <w:rsid w:val="005F79BD"/>
    <w:rsid w:val="005F7F61"/>
    <w:rsid w:val="00600C32"/>
    <w:rsid w:val="00601032"/>
    <w:rsid w:val="00602457"/>
    <w:rsid w:val="00602B37"/>
    <w:rsid w:val="00604CE4"/>
    <w:rsid w:val="0060616E"/>
    <w:rsid w:val="006062DA"/>
    <w:rsid w:val="00606DD2"/>
    <w:rsid w:val="00607410"/>
    <w:rsid w:val="00613EE8"/>
    <w:rsid w:val="006141B8"/>
    <w:rsid w:val="00615714"/>
    <w:rsid w:val="00616DCC"/>
    <w:rsid w:val="00625C60"/>
    <w:rsid w:val="00627020"/>
    <w:rsid w:val="006274D0"/>
    <w:rsid w:val="00627DA4"/>
    <w:rsid w:val="00631B1F"/>
    <w:rsid w:val="00631E81"/>
    <w:rsid w:val="00634CE6"/>
    <w:rsid w:val="006374B1"/>
    <w:rsid w:val="0063798F"/>
    <w:rsid w:val="00637B21"/>
    <w:rsid w:val="00640655"/>
    <w:rsid w:val="006409A1"/>
    <w:rsid w:val="00640F43"/>
    <w:rsid w:val="00641853"/>
    <w:rsid w:val="00643B17"/>
    <w:rsid w:val="00644585"/>
    <w:rsid w:val="00645684"/>
    <w:rsid w:val="00647F94"/>
    <w:rsid w:val="00653F74"/>
    <w:rsid w:val="00654C9B"/>
    <w:rsid w:val="0065515D"/>
    <w:rsid w:val="006553E5"/>
    <w:rsid w:val="00656A6B"/>
    <w:rsid w:val="00660915"/>
    <w:rsid w:val="0066094B"/>
    <w:rsid w:val="00661975"/>
    <w:rsid w:val="0066200C"/>
    <w:rsid w:val="0066202F"/>
    <w:rsid w:val="00662B24"/>
    <w:rsid w:val="00665329"/>
    <w:rsid w:val="00665AEC"/>
    <w:rsid w:val="0066618F"/>
    <w:rsid w:val="0066623D"/>
    <w:rsid w:val="00666AA4"/>
    <w:rsid w:val="0067016B"/>
    <w:rsid w:val="006726E4"/>
    <w:rsid w:val="006728EF"/>
    <w:rsid w:val="00674BDB"/>
    <w:rsid w:val="00677B9D"/>
    <w:rsid w:val="00677CA9"/>
    <w:rsid w:val="006801FB"/>
    <w:rsid w:val="006817BC"/>
    <w:rsid w:val="006833E7"/>
    <w:rsid w:val="00685935"/>
    <w:rsid w:val="00690575"/>
    <w:rsid w:val="00690EB4"/>
    <w:rsid w:val="00692024"/>
    <w:rsid w:val="00692D5B"/>
    <w:rsid w:val="00695F8E"/>
    <w:rsid w:val="0069694F"/>
    <w:rsid w:val="00696E8F"/>
    <w:rsid w:val="006A0859"/>
    <w:rsid w:val="006A1368"/>
    <w:rsid w:val="006B0262"/>
    <w:rsid w:val="006B1DC4"/>
    <w:rsid w:val="006B1F82"/>
    <w:rsid w:val="006B25A2"/>
    <w:rsid w:val="006B376A"/>
    <w:rsid w:val="006B434F"/>
    <w:rsid w:val="006B4B52"/>
    <w:rsid w:val="006B64C0"/>
    <w:rsid w:val="006B7B0D"/>
    <w:rsid w:val="006C183A"/>
    <w:rsid w:val="006C19CF"/>
    <w:rsid w:val="006C22FE"/>
    <w:rsid w:val="006C2E42"/>
    <w:rsid w:val="006C3A80"/>
    <w:rsid w:val="006C3F02"/>
    <w:rsid w:val="006C52FA"/>
    <w:rsid w:val="006C5EC0"/>
    <w:rsid w:val="006C7038"/>
    <w:rsid w:val="006D113E"/>
    <w:rsid w:val="006D28BB"/>
    <w:rsid w:val="006D4E1A"/>
    <w:rsid w:val="006D79A1"/>
    <w:rsid w:val="006E2531"/>
    <w:rsid w:val="006E4022"/>
    <w:rsid w:val="006E686F"/>
    <w:rsid w:val="006E6EA9"/>
    <w:rsid w:val="006F0BAE"/>
    <w:rsid w:val="006F22C3"/>
    <w:rsid w:val="006F276F"/>
    <w:rsid w:val="006F3CD4"/>
    <w:rsid w:val="006F48E9"/>
    <w:rsid w:val="006F642A"/>
    <w:rsid w:val="006F7F56"/>
    <w:rsid w:val="00701EA2"/>
    <w:rsid w:val="00701F08"/>
    <w:rsid w:val="00701FCF"/>
    <w:rsid w:val="0070213B"/>
    <w:rsid w:val="007038AB"/>
    <w:rsid w:val="00704E93"/>
    <w:rsid w:val="007052E8"/>
    <w:rsid w:val="00705E73"/>
    <w:rsid w:val="007066C3"/>
    <w:rsid w:val="007101B9"/>
    <w:rsid w:val="00711A64"/>
    <w:rsid w:val="00712392"/>
    <w:rsid w:val="00712E8A"/>
    <w:rsid w:val="007160C9"/>
    <w:rsid w:val="007178D4"/>
    <w:rsid w:val="00717A39"/>
    <w:rsid w:val="00720DFC"/>
    <w:rsid w:val="00721B4C"/>
    <w:rsid w:val="00721C85"/>
    <w:rsid w:val="0072200C"/>
    <w:rsid w:val="00722118"/>
    <w:rsid w:val="0072395B"/>
    <w:rsid w:val="007251ED"/>
    <w:rsid w:val="00725998"/>
    <w:rsid w:val="007275B0"/>
    <w:rsid w:val="00727920"/>
    <w:rsid w:val="007304AD"/>
    <w:rsid w:val="00730C4F"/>
    <w:rsid w:val="00730CCF"/>
    <w:rsid w:val="00730DA4"/>
    <w:rsid w:val="00731992"/>
    <w:rsid w:val="00731F28"/>
    <w:rsid w:val="00732210"/>
    <w:rsid w:val="00732294"/>
    <w:rsid w:val="00732D92"/>
    <w:rsid w:val="007338DF"/>
    <w:rsid w:val="00733D91"/>
    <w:rsid w:val="007349B6"/>
    <w:rsid w:val="007349DF"/>
    <w:rsid w:val="00736875"/>
    <w:rsid w:val="0074198F"/>
    <w:rsid w:val="007429B1"/>
    <w:rsid w:val="00742ECA"/>
    <w:rsid w:val="0074387B"/>
    <w:rsid w:val="00750A26"/>
    <w:rsid w:val="007526F7"/>
    <w:rsid w:val="0075396F"/>
    <w:rsid w:val="00753DD0"/>
    <w:rsid w:val="00754DB0"/>
    <w:rsid w:val="0075533F"/>
    <w:rsid w:val="00755908"/>
    <w:rsid w:val="00755B00"/>
    <w:rsid w:val="00756556"/>
    <w:rsid w:val="007574C1"/>
    <w:rsid w:val="00757620"/>
    <w:rsid w:val="00757703"/>
    <w:rsid w:val="00764462"/>
    <w:rsid w:val="00764509"/>
    <w:rsid w:val="00765C70"/>
    <w:rsid w:val="00766D93"/>
    <w:rsid w:val="00766D9D"/>
    <w:rsid w:val="007710D4"/>
    <w:rsid w:val="007723CF"/>
    <w:rsid w:val="00772904"/>
    <w:rsid w:val="0077680F"/>
    <w:rsid w:val="00781E1D"/>
    <w:rsid w:val="00783263"/>
    <w:rsid w:val="00783763"/>
    <w:rsid w:val="0078429A"/>
    <w:rsid w:val="00784414"/>
    <w:rsid w:val="00785307"/>
    <w:rsid w:val="00785B99"/>
    <w:rsid w:val="0079022D"/>
    <w:rsid w:val="00791B32"/>
    <w:rsid w:val="00791DB4"/>
    <w:rsid w:val="007934AE"/>
    <w:rsid w:val="00795011"/>
    <w:rsid w:val="007956F7"/>
    <w:rsid w:val="00796B32"/>
    <w:rsid w:val="00796CB1"/>
    <w:rsid w:val="00797697"/>
    <w:rsid w:val="007A0286"/>
    <w:rsid w:val="007A02F3"/>
    <w:rsid w:val="007A139C"/>
    <w:rsid w:val="007A2910"/>
    <w:rsid w:val="007A6367"/>
    <w:rsid w:val="007A6F63"/>
    <w:rsid w:val="007B2463"/>
    <w:rsid w:val="007B2CB3"/>
    <w:rsid w:val="007B436E"/>
    <w:rsid w:val="007B4BB7"/>
    <w:rsid w:val="007B5248"/>
    <w:rsid w:val="007B6431"/>
    <w:rsid w:val="007B6C76"/>
    <w:rsid w:val="007C02A9"/>
    <w:rsid w:val="007C034C"/>
    <w:rsid w:val="007C0742"/>
    <w:rsid w:val="007C3716"/>
    <w:rsid w:val="007C4200"/>
    <w:rsid w:val="007C429B"/>
    <w:rsid w:val="007C486C"/>
    <w:rsid w:val="007C5780"/>
    <w:rsid w:val="007C7B85"/>
    <w:rsid w:val="007D10AF"/>
    <w:rsid w:val="007D24F9"/>
    <w:rsid w:val="007D42E5"/>
    <w:rsid w:val="007D7E02"/>
    <w:rsid w:val="007D7FB8"/>
    <w:rsid w:val="007E03F2"/>
    <w:rsid w:val="007E0EC6"/>
    <w:rsid w:val="007E1CBC"/>
    <w:rsid w:val="007E567B"/>
    <w:rsid w:val="007E5C67"/>
    <w:rsid w:val="007E62A9"/>
    <w:rsid w:val="007E6E7E"/>
    <w:rsid w:val="007E6F9C"/>
    <w:rsid w:val="007F141D"/>
    <w:rsid w:val="007F20A8"/>
    <w:rsid w:val="007F233C"/>
    <w:rsid w:val="007F27A0"/>
    <w:rsid w:val="007F3014"/>
    <w:rsid w:val="007F34D6"/>
    <w:rsid w:val="007F3F26"/>
    <w:rsid w:val="007F5EDE"/>
    <w:rsid w:val="007F6284"/>
    <w:rsid w:val="007F6EE5"/>
    <w:rsid w:val="007F7730"/>
    <w:rsid w:val="0080011D"/>
    <w:rsid w:val="00803D62"/>
    <w:rsid w:val="008069D9"/>
    <w:rsid w:val="0081194D"/>
    <w:rsid w:val="008133FE"/>
    <w:rsid w:val="0081426B"/>
    <w:rsid w:val="00814516"/>
    <w:rsid w:val="00814BC4"/>
    <w:rsid w:val="00815745"/>
    <w:rsid w:val="00816C95"/>
    <w:rsid w:val="00816E82"/>
    <w:rsid w:val="00820F50"/>
    <w:rsid w:val="0082580B"/>
    <w:rsid w:val="0083166A"/>
    <w:rsid w:val="00833F0B"/>
    <w:rsid w:val="00835F7E"/>
    <w:rsid w:val="0083714D"/>
    <w:rsid w:val="00840E5B"/>
    <w:rsid w:val="00843348"/>
    <w:rsid w:val="0084382E"/>
    <w:rsid w:val="00845FCD"/>
    <w:rsid w:val="008476F0"/>
    <w:rsid w:val="008513F9"/>
    <w:rsid w:val="0085229F"/>
    <w:rsid w:val="00853409"/>
    <w:rsid w:val="00854C2B"/>
    <w:rsid w:val="00855BD7"/>
    <w:rsid w:val="00856DD2"/>
    <w:rsid w:val="00860DDC"/>
    <w:rsid w:val="00861E8B"/>
    <w:rsid w:val="00866689"/>
    <w:rsid w:val="008725D0"/>
    <w:rsid w:val="00873F10"/>
    <w:rsid w:val="00880C28"/>
    <w:rsid w:val="00882F8F"/>
    <w:rsid w:val="008835E0"/>
    <w:rsid w:val="008848B8"/>
    <w:rsid w:val="00885133"/>
    <w:rsid w:val="00886AAE"/>
    <w:rsid w:val="008871BC"/>
    <w:rsid w:val="00887555"/>
    <w:rsid w:val="00887EF9"/>
    <w:rsid w:val="00892A6F"/>
    <w:rsid w:val="008940D9"/>
    <w:rsid w:val="008941DD"/>
    <w:rsid w:val="0089450D"/>
    <w:rsid w:val="00894AEC"/>
    <w:rsid w:val="008953FA"/>
    <w:rsid w:val="0089589B"/>
    <w:rsid w:val="008A0DC5"/>
    <w:rsid w:val="008A0FC5"/>
    <w:rsid w:val="008A1C6D"/>
    <w:rsid w:val="008A1ED4"/>
    <w:rsid w:val="008A2250"/>
    <w:rsid w:val="008A37D9"/>
    <w:rsid w:val="008B022D"/>
    <w:rsid w:val="008B271F"/>
    <w:rsid w:val="008B3A8E"/>
    <w:rsid w:val="008B3AF9"/>
    <w:rsid w:val="008C0168"/>
    <w:rsid w:val="008C112F"/>
    <w:rsid w:val="008C1E24"/>
    <w:rsid w:val="008C221A"/>
    <w:rsid w:val="008C2ACE"/>
    <w:rsid w:val="008C2C1B"/>
    <w:rsid w:val="008C38A4"/>
    <w:rsid w:val="008C433D"/>
    <w:rsid w:val="008C547F"/>
    <w:rsid w:val="008C5915"/>
    <w:rsid w:val="008C6084"/>
    <w:rsid w:val="008C6091"/>
    <w:rsid w:val="008C6573"/>
    <w:rsid w:val="008C74B8"/>
    <w:rsid w:val="008D173F"/>
    <w:rsid w:val="008D21E2"/>
    <w:rsid w:val="008D4BB9"/>
    <w:rsid w:val="008D4EDC"/>
    <w:rsid w:val="008D5495"/>
    <w:rsid w:val="008D6711"/>
    <w:rsid w:val="008D6A1D"/>
    <w:rsid w:val="008D725E"/>
    <w:rsid w:val="008D7889"/>
    <w:rsid w:val="008E02C2"/>
    <w:rsid w:val="008E1139"/>
    <w:rsid w:val="008E1EEA"/>
    <w:rsid w:val="008E392A"/>
    <w:rsid w:val="008E3E0B"/>
    <w:rsid w:val="008F0323"/>
    <w:rsid w:val="008F0664"/>
    <w:rsid w:val="008F07E2"/>
    <w:rsid w:val="008F259C"/>
    <w:rsid w:val="008F3115"/>
    <w:rsid w:val="008F3FDD"/>
    <w:rsid w:val="008F4145"/>
    <w:rsid w:val="008F4872"/>
    <w:rsid w:val="008F4C55"/>
    <w:rsid w:val="00902A95"/>
    <w:rsid w:val="00903526"/>
    <w:rsid w:val="00903A32"/>
    <w:rsid w:val="0090424B"/>
    <w:rsid w:val="00905E4B"/>
    <w:rsid w:val="00905E4F"/>
    <w:rsid w:val="00906116"/>
    <w:rsid w:val="00906DD5"/>
    <w:rsid w:val="009074BB"/>
    <w:rsid w:val="00911DC4"/>
    <w:rsid w:val="0091310F"/>
    <w:rsid w:val="00913C87"/>
    <w:rsid w:val="00914DB4"/>
    <w:rsid w:val="0091637D"/>
    <w:rsid w:val="00920494"/>
    <w:rsid w:val="00924210"/>
    <w:rsid w:val="00924F67"/>
    <w:rsid w:val="00926034"/>
    <w:rsid w:val="00927352"/>
    <w:rsid w:val="009273AD"/>
    <w:rsid w:val="00930498"/>
    <w:rsid w:val="00932206"/>
    <w:rsid w:val="00932F26"/>
    <w:rsid w:val="0093334A"/>
    <w:rsid w:val="0093384A"/>
    <w:rsid w:val="00933D12"/>
    <w:rsid w:val="00933D29"/>
    <w:rsid w:val="00934C9B"/>
    <w:rsid w:val="009374F1"/>
    <w:rsid w:val="00937E1E"/>
    <w:rsid w:val="00940A1D"/>
    <w:rsid w:val="0094125F"/>
    <w:rsid w:val="00941AD8"/>
    <w:rsid w:val="00945E5D"/>
    <w:rsid w:val="00946194"/>
    <w:rsid w:val="00950DD5"/>
    <w:rsid w:val="009510C0"/>
    <w:rsid w:val="0095160D"/>
    <w:rsid w:val="00952429"/>
    <w:rsid w:val="00954182"/>
    <w:rsid w:val="009546B1"/>
    <w:rsid w:val="009553C6"/>
    <w:rsid w:val="00955A4B"/>
    <w:rsid w:val="009568FC"/>
    <w:rsid w:val="0095712B"/>
    <w:rsid w:val="0095720F"/>
    <w:rsid w:val="009604BD"/>
    <w:rsid w:val="00961F6B"/>
    <w:rsid w:val="00962DEE"/>
    <w:rsid w:val="00963188"/>
    <w:rsid w:val="009637B9"/>
    <w:rsid w:val="00963AF2"/>
    <w:rsid w:val="00964578"/>
    <w:rsid w:val="00964B87"/>
    <w:rsid w:val="00964DF6"/>
    <w:rsid w:val="00967663"/>
    <w:rsid w:val="00967664"/>
    <w:rsid w:val="00970050"/>
    <w:rsid w:val="0097077F"/>
    <w:rsid w:val="00971794"/>
    <w:rsid w:val="0097396A"/>
    <w:rsid w:val="00975B40"/>
    <w:rsid w:val="0097756A"/>
    <w:rsid w:val="00981199"/>
    <w:rsid w:val="009848FE"/>
    <w:rsid w:val="0098618A"/>
    <w:rsid w:val="0098678E"/>
    <w:rsid w:val="009909BE"/>
    <w:rsid w:val="00990DF7"/>
    <w:rsid w:val="00992033"/>
    <w:rsid w:val="00993046"/>
    <w:rsid w:val="00995547"/>
    <w:rsid w:val="009959CF"/>
    <w:rsid w:val="009A2D19"/>
    <w:rsid w:val="009A4B8F"/>
    <w:rsid w:val="009A6E6A"/>
    <w:rsid w:val="009A74DA"/>
    <w:rsid w:val="009A7BAB"/>
    <w:rsid w:val="009B0823"/>
    <w:rsid w:val="009B13E5"/>
    <w:rsid w:val="009B2EB3"/>
    <w:rsid w:val="009B4CAE"/>
    <w:rsid w:val="009B5047"/>
    <w:rsid w:val="009B5DA3"/>
    <w:rsid w:val="009B797B"/>
    <w:rsid w:val="009C0997"/>
    <w:rsid w:val="009C0F3B"/>
    <w:rsid w:val="009C1A00"/>
    <w:rsid w:val="009C1C06"/>
    <w:rsid w:val="009C1DC8"/>
    <w:rsid w:val="009C46C7"/>
    <w:rsid w:val="009C7208"/>
    <w:rsid w:val="009D0A17"/>
    <w:rsid w:val="009D10CD"/>
    <w:rsid w:val="009D2104"/>
    <w:rsid w:val="009D264E"/>
    <w:rsid w:val="009D5956"/>
    <w:rsid w:val="009D5C65"/>
    <w:rsid w:val="009D7A78"/>
    <w:rsid w:val="009D7A87"/>
    <w:rsid w:val="009E0767"/>
    <w:rsid w:val="009E14EF"/>
    <w:rsid w:val="009E1B20"/>
    <w:rsid w:val="009E3142"/>
    <w:rsid w:val="009E315C"/>
    <w:rsid w:val="009E39FD"/>
    <w:rsid w:val="009E3FA4"/>
    <w:rsid w:val="009E47C9"/>
    <w:rsid w:val="009E63C3"/>
    <w:rsid w:val="009E68CA"/>
    <w:rsid w:val="009F05F9"/>
    <w:rsid w:val="009F0DD7"/>
    <w:rsid w:val="009F2B87"/>
    <w:rsid w:val="009F55F4"/>
    <w:rsid w:val="009F6B3D"/>
    <w:rsid w:val="009F6E59"/>
    <w:rsid w:val="00A00166"/>
    <w:rsid w:val="00A01843"/>
    <w:rsid w:val="00A01DBC"/>
    <w:rsid w:val="00A069CD"/>
    <w:rsid w:val="00A07CBB"/>
    <w:rsid w:val="00A11B0E"/>
    <w:rsid w:val="00A12257"/>
    <w:rsid w:val="00A12398"/>
    <w:rsid w:val="00A13ACC"/>
    <w:rsid w:val="00A13EFF"/>
    <w:rsid w:val="00A1467A"/>
    <w:rsid w:val="00A15154"/>
    <w:rsid w:val="00A155B8"/>
    <w:rsid w:val="00A17413"/>
    <w:rsid w:val="00A21472"/>
    <w:rsid w:val="00A21589"/>
    <w:rsid w:val="00A224C8"/>
    <w:rsid w:val="00A22A94"/>
    <w:rsid w:val="00A231E9"/>
    <w:rsid w:val="00A23CC5"/>
    <w:rsid w:val="00A243D4"/>
    <w:rsid w:val="00A246B5"/>
    <w:rsid w:val="00A248A8"/>
    <w:rsid w:val="00A271AA"/>
    <w:rsid w:val="00A2786E"/>
    <w:rsid w:val="00A3284E"/>
    <w:rsid w:val="00A34736"/>
    <w:rsid w:val="00A35943"/>
    <w:rsid w:val="00A361F6"/>
    <w:rsid w:val="00A36BE4"/>
    <w:rsid w:val="00A36E80"/>
    <w:rsid w:val="00A37B39"/>
    <w:rsid w:val="00A418F5"/>
    <w:rsid w:val="00A420E3"/>
    <w:rsid w:val="00A4466E"/>
    <w:rsid w:val="00A44BD5"/>
    <w:rsid w:val="00A462C6"/>
    <w:rsid w:val="00A46BE8"/>
    <w:rsid w:val="00A470A1"/>
    <w:rsid w:val="00A47F2E"/>
    <w:rsid w:val="00A5117C"/>
    <w:rsid w:val="00A51C1D"/>
    <w:rsid w:val="00A54023"/>
    <w:rsid w:val="00A5416D"/>
    <w:rsid w:val="00A56519"/>
    <w:rsid w:val="00A6135A"/>
    <w:rsid w:val="00A6173F"/>
    <w:rsid w:val="00A618F7"/>
    <w:rsid w:val="00A62DD2"/>
    <w:rsid w:val="00A62EED"/>
    <w:rsid w:val="00A64317"/>
    <w:rsid w:val="00A643FD"/>
    <w:rsid w:val="00A6444D"/>
    <w:rsid w:val="00A64A81"/>
    <w:rsid w:val="00A64F4B"/>
    <w:rsid w:val="00A65C9B"/>
    <w:rsid w:val="00A664FC"/>
    <w:rsid w:val="00A6676A"/>
    <w:rsid w:val="00A670A8"/>
    <w:rsid w:val="00A72342"/>
    <w:rsid w:val="00A73477"/>
    <w:rsid w:val="00A74291"/>
    <w:rsid w:val="00A747E3"/>
    <w:rsid w:val="00A75544"/>
    <w:rsid w:val="00A760D9"/>
    <w:rsid w:val="00A76327"/>
    <w:rsid w:val="00A765FC"/>
    <w:rsid w:val="00A76C77"/>
    <w:rsid w:val="00A77876"/>
    <w:rsid w:val="00A77E3D"/>
    <w:rsid w:val="00A77EB4"/>
    <w:rsid w:val="00A83090"/>
    <w:rsid w:val="00A830EC"/>
    <w:rsid w:val="00A83A52"/>
    <w:rsid w:val="00A87EEA"/>
    <w:rsid w:val="00A907F7"/>
    <w:rsid w:val="00A921F1"/>
    <w:rsid w:val="00A93905"/>
    <w:rsid w:val="00A946E8"/>
    <w:rsid w:val="00A94A3D"/>
    <w:rsid w:val="00A974AB"/>
    <w:rsid w:val="00AA200E"/>
    <w:rsid w:val="00AA4FA1"/>
    <w:rsid w:val="00AA5DA0"/>
    <w:rsid w:val="00AA6DEF"/>
    <w:rsid w:val="00AA7776"/>
    <w:rsid w:val="00AA7EE0"/>
    <w:rsid w:val="00AB22E8"/>
    <w:rsid w:val="00AB245C"/>
    <w:rsid w:val="00AB261D"/>
    <w:rsid w:val="00AB3CF6"/>
    <w:rsid w:val="00AB78EE"/>
    <w:rsid w:val="00AC098F"/>
    <w:rsid w:val="00AC2D52"/>
    <w:rsid w:val="00AC2EAD"/>
    <w:rsid w:val="00AC3865"/>
    <w:rsid w:val="00AC4A29"/>
    <w:rsid w:val="00AC5893"/>
    <w:rsid w:val="00AC5E0A"/>
    <w:rsid w:val="00AC5F85"/>
    <w:rsid w:val="00AC71DE"/>
    <w:rsid w:val="00AD0280"/>
    <w:rsid w:val="00AD103E"/>
    <w:rsid w:val="00AD1F36"/>
    <w:rsid w:val="00AD3BD8"/>
    <w:rsid w:val="00AD4010"/>
    <w:rsid w:val="00AD6795"/>
    <w:rsid w:val="00AD7346"/>
    <w:rsid w:val="00AD7B75"/>
    <w:rsid w:val="00AE2AD1"/>
    <w:rsid w:val="00AE384E"/>
    <w:rsid w:val="00AE3D5B"/>
    <w:rsid w:val="00AE52F0"/>
    <w:rsid w:val="00AE55B7"/>
    <w:rsid w:val="00AE5D42"/>
    <w:rsid w:val="00AE66FE"/>
    <w:rsid w:val="00AE77DA"/>
    <w:rsid w:val="00AF103B"/>
    <w:rsid w:val="00AF10FD"/>
    <w:rsid w:val="00AF14A3"/>
    <w:rsid w:val="00AF239A"/>
    <w:rsid w:val="00AF3A13"/>
    <w:rsid w:val="00B01FB5"/>
    <w:rsid w:val="00B0273D"/>
    <w:rsid w:val="00B03B10"/>
    <w:rsid w:val="00B05FB2"/>
    <w:rsid w:val="00B06331"/>
    <w:rsid w:val="00B06445"/>
    <w:rsid w:val="00B06A7C"/>
    <w:rsid w:val="00B07CF5"/>
    <w:rsid w:val="00B1049D"/>
    <w:rsid w:val="00B11062"/>
    <w:rsid w:val="00B11BD6"/>
    <w:rsid w:val="00B15FA4"/>
    <w:rsid w:val="00B164B3"/>
    <w:rsid w:val="00B170EA"/>
    <w:rsid w:val="00B1784A"/>
    <w:rsid w:val="00B206C8"/>
    <w:rsid w:val="00B2078C"/>
    <w:rsid w:val="00B20D01"/>
    <w:rsid w:val="00B223E1"/>
    <w:rsid w:val="00B226FD"/>
    <w:rsid w:val="00B2328E"/>
    <w:rsid w:val="00B235D4"/>
    <w:rsid w:val="00B25B57"/>
    <w:rsid w:val="00B26240"/>
    <w:rsid w:val="00B30584"/>
    <w:rsid w:val="00B3084E"/>
    <w:rsid w:val="00B309D6"/>
    <w:rsid w:val="00B30B31"/>
    <w:rsid w:val="00B31855"/>
    <w:rsid w:val="00B3211C"/>
    <w:rsid w:val="00B32F1E"/>
    <w:rsid w:val="00B334E5"/>
    <w:rsid w:val="00B33B47"/>
    <w:rsid w:val="00B33F3F"/>
    <w:rsid w:val="00B3512E"/>
    <w:rsid w:val="00B3546E"/>
    <w:rsid w:val="00B37713"/>
    <w:rsid w:val="00B37A53"/>
    <w:rsid w:val="00B42EA8"/>
    <w:rsid w:val="00B453EE"/>
    <w:rsid w:val="00B47833"/>
    <w:rsid w:val="00B47EE1"/>
    <w:rsid w:val="00B50D38"/>
    <w:rsid w:val="00B50F5D"/>
    <w:rsid w:val="00B5112E"/>
    <w:rsid w:val="00B5184F"/>
    <w:rsid w:val="00B51F26"/>
    <w:rsid w:val="00B52E78"/>
    <w:rsid w:val="00B52F27"/>
    <w:rsid w:val="00B52FCB"/>
    <w:rsid w:val="00B54AD7"/>
    <w:rsid w:val="00B54DEA"/>
    <w:rsid w:val="00B55089"/>
    <w:rsid w:val="00B558DA"/>
    <w:rsid w:val="00B56127"/>
    <w:rsid w:val="00B561FB"/>
    <w:rsid w:val="00B5720E"/>
    <w:rsid w:val="00B57290"/>
    <w:rsid w:val="00B611C7"/>
    <w:rsid w:val="00B623E4"/>
    <w:rsid w:val="00B66191"/>
    <w:rsid w:val="00B67A4C"/>
    <w:rsid w:val="00B7082D"/>
    <w:rsid w:val="00B70B53"/>
    <w:rsid w:val="00B7118F"/>
    <w:rsid w:val="00B7162F"/>
    <w:rsid w:val="00B7190B"/>
    <w:rsid w:val="00B755F2"/>
    <w:rsid w:val="00B75CFD"/>
    <w:rsid w:val="00B76201"/>
    <w:rsid w:val="00B77EE4"/>
    <w:rsid w:val="00B80337"/>
    <w:rsid w:val="00B80A24"/>
    <w:rsid w:val="00B81BE9"/>
    <w:rsid w:val="00B8402A"/>
    <w:rsid w:val="00B845C5"/>
    <w:rsid w:val="00B857F6"/>
    <w:rsid w:val="00B86D6E"/>
    <w:rsid w:val="00B879F0"/>
    <w:rsid w:val="00B9150B"/>
    <w:rsid w:val="00B92C36"/>
    <w:rsid w:val="00B92DA9"/>
    <w:rsid w:val="00B933D4"/>
    <w:rsid w:val="00B96525"/>
    <w:rsid w:val="00B974E5"/>
    <w:rsid w:val="00BA0D90"/>
    <w:rsid w:val="00BA0E55"/>
    <w:rsid w:val="00BA182F"/>
    <w:rsid w:val="00BA46EF"/>
    <w:rsid w:val="00BA4831"/>
    <w:rsid w:val="00BA5349"/>
    <w:rsid w:val="00BA53A7"/>
    <w:rsid w:val="00BA6D7E"/>
    <w:rsid w:val="00BB1BCA"/>
    <w:rsid w:val="00BB2067"/>
    <w:rsid w:val="00BB2855"/>
    <w:rsid w:val="00BB34EF"/>
    <w:rsid w:val="00BB3D27"/>
    <w:rsid w:val="00BB3E33"/>
    <w:rsid w:val="00BB445D"/>
    <w:rsid w:val="00BB4D46"/>
    <w:rsid w:val="00BB5C03"/>
    <w:rsid w:val="00BB5E24"/>
    <w:rsid w:val="00BB6611"/>
    <w:rsid w:val="00BB76CE"/>
    <w:rsid w:val="00BC1D94"/>
    <w:rsid w:val="00BC366D"/>
    <w:rsid w:val="00BC3905"/>
    <w:rsid w:val="00BC5E8A"/>
    <w:rsid w:val="00BC6A0A"/>
    <w:rsid w:val="00BC729E"/>
    <w:rsid w:val="00BD02E6"/>
    <w:rsid w:val="00BD32AF"/>
    <w:rsid w:val="00BD33F8"/>
    <w:rsid w:val="00BD4136"/>
    <w:rsid w:val="00BD45BE"/>
    <w:rsid w:val="00BD47D6"/>
    <w:rsid w:val="00BD5385"/>
    <w:rsid w:val="00BD5B28"/>
    <w:rsid w:val="00BD704A"/>
    <w:rsid w:val="00BD7FB2"/>
    <w:rsid w:val="00BE06CC"/>
    <w:rsid w:val="00BE1572"/>
    <w:rsid w:val="00BE15DA"/>
    <w:rsid w:val="00BE29B9"/>
    <w:rsid w:val="00BE3059"/>
    <w:rsid w:val="00BE4267"/>
    <w:rsid w:val="00BE48A0"/>
    <w:rsid w:val="00BE50E0"/>
    <w:rsid w:val="00BE7882"/>
    <w:rsid w:val="00BF005D"/>
    <w:rsid w:val="00BF0745"/>
    <w:rsid w:val="00BF08FB"/>
    <w:rsid w:val="00BF1AA3"/>
    <w:rsid w:val="00BF3DC3"/>
    <w:rsid w:val="00BF50C2"/>
    <w:rsid w:val="00C018D9"/>
    <w:rsid w:val="00C03CBE"/>
    <w:rsid w:val="00C050CD"/>
    <w:rsid w:val="00C05408"/>
    <w:rsid w:val="00C064A1"/>
    <w:rsid w:val="00C064D0"/>
    <w:rsid w:val="00C07757"/>
    <w:rsid w:val="00C10020"/>
    <w:rsid w:val="00C1073B"/>
    <w:rsid w:val="00C112C2"/>
    <w:rsid w:val="00C11357"/>
    <w:rsid w:val="00C127C7"/>
    <w:rsid w:val="00C14F70"/>
    <w:rsid w:val="00C160CE"/>
    <w:rsid w:val="00C17F21"/>
    <w:rsid w:val="00C20399"/>
    <w:rsid w:val="00C20C7A"/>
    <w:rsid w:val="00C21261"/>
    <w:rsid w:val="00C2184D"/>
    <w:rsid w:val="00C21D40"/>
    <w:rsid w:val="00C222FB"/>
    <w:rsid w:val="00C26D78"/>
    <w:rsid w:val="00C27EF1"/>
    <w:rsid w:val="00C31566"/>
    <w:rsid w:val="00C31765"/>
    <w:rsid w:val="00C34017"/>
    <w:rsid w:val="00C340AA"/>
    <w:rsid w:val="00C36181"/>
    <w:rsid w:val="00C36EA8"/>
    <w:rsid w:val="00C36F4F"/>
    <w:rsid w:val="00C374C1"/>
    <w:rsid w:val="00C37CC7"/>
    <w:rsid w:val="00C431B3"/>
    <w:rsid w:val="00C431FB"/>
    <w:rsid w:val="00C44A32"/>
    <w:rsid w:val="00C44C24"/>
    <w:rsid w:val="00C45A93"/>
    <w:rsid w:val="00C468AC"/>
    <w:rsid w:val="00C46AAF"/>
    <w:rsid w:val="00C4730A"/>
    <w:rsid w:val="00C47955"/>
    <w:rsid w:val="00C47E10"/>
    <w:rsid w:val="00C531E3"/>
    <w:rsid w:val="00C535DA"/>
    <w:rsid w:val="00C56653"/>
    <w:rsid w:val="00C56FF5"/>
    <w:rsid w:val="00C57156"/>
    <w:rsid w:val="00C5715F"/>
    <w:rsid w:val="00C60091"/>
    <w:rsid w:val="00C6067B"/>
    <w:rsid w:val="00C60AC5"/>
    <w:rsid w:val="00C60F88"/>
    <w:rsid w:val="00C6139E"/>
    <w:rsid w:val="00C625C8"/>
    <w:rsid w:val="00C641BF"/>
    <w:rsid w:val="00C64B02"/>
    <w:rsid w:val="00C64CCF"/>
    <w:rsid w:val="00C65E73"/>
    <w:rsid w:val="00C66355"/>
    <w:rsid w:val="00C6676E"/>
    <w:rsid w:val="00C7091C"/>
    <w:rsid w:val="00C70B94"/>
    <w:rsid w:val="00C73588"/>
    <w:rsid w:val="00C76203"/>
    <w:rsid w:val="00C76908"/>
    <w:rsid w:val="00C806B2"/>
    <w:rsid w:val="00C81365"/>
    <w:rsid w:val="00C81D74"/>
    <w:rsid w:val="00C82AE4"/>
    <w:rsid w:val="00C834EA"/>
    <w:rsid w:val="00C84F4B"/>
    <w:rsid w:val="00C8565B"/>
    <w:rsid w:val="00C90215"/>
    <w:rsid w:val="00C9257F"/>
    <w:rsid w:val="00C94497"/>
    <w:rsid w:val="00C949D5"/>
    <w:rsid w:val="00C959C5"/>
    <w:rsid w:val="00C965F0"/>
    <w:rsid w:val="00C9774B"/>
    <w:rsid w:val="00C97F9A"/>
    <w:rsid w:val="00CA0C82"/>
    <w:rsid w:val="00CA22B6"/>
    <w:rsid w:val="00CA2B76"/>
    <w:rsid w:val="00CA3A4D"/>
    <w:rsid w:val="00CA4EB6"/>
    <w:rsid w:val="00CA53A5"/>
    <w:rsid w:val="00CA652F"/>
    <w:rsid w:val="00CA6F6D"/>
    <w:rsid w:val="00CB11EF"/>
    <w:rsid w:val="00CB21F7"/>
    <w:rsid w:val="00CB2460"/>
    <w:rsid w:val="00CB38DE"/>
    <w:rsid w:val="00CB429A"/>
    <w:rsid w:val="00CC11B3"/>
    <w:rsid w:val="00CC1261"/>
    <w:rsid w:val="00CC1DF6"/>
    <w:rsid w:val="00CC267D"/>
    <w:rsid w:val="00CC29B3"/>
    <w:rsid w:val="00CC4AEF"/>
    <w:rsid w:val="00CC4C76"/>
    <w:rsid w:val="00CC5280"/>
    <w:rsid w:val="00CC5F37"/>
    <w:rsid w:val="00CC7E69"/>
    <w:rsid w:val="00CD085F"/>
    <w:rsid w:val="00CD0A7C"/>
    <w:rsid w:val="00CD181C"/>
    <w:rsid w:val="00CD2069"/>
    <w:rsid w:val="00CD4065"/>
    <w:rsid w:val="00CD4563"/>
    <w:rsid w:val="00CE1546"/>
    <w:rsid w:val="00CE1FBB"/>
    <w:rsid w:val="00CE2DF1"/>
    <w:rsid w:val="00CF34E2"/>
    <w:rsid w:val="00CF351A"/>
    <w:rsid w:val="00CF400A"/>
    <w:rsid w:val="00CF5514"/>
    <w:rsid w:val="00CF6A74"/>
    <w:rsid w:val="00CF6E68"/>
    <w:rsid w:val="00D004AF"/>
    <w:rsid w:val="00D0187A"/>
    <w:rsid w:val="00D01C59"/>
    <w:rsid w:val="00D0534C"/>
    <w:rsid w:val="00D06D4E"/>
    <w:rsid w:val="00D06DC4"/>
    <w:rsid w:val="00D070EE"/>
    <w:rsid w:val="00D11BB1"/>
    <w:rsid w:val="00D1227E"/>
    <w:rsid w:val="00D12DCB"/>
    <w:rsid w:val="00D14627"/>
    <w:rsid w:val="00D16887"/>
    <w:rsid w:val="00D16F7D"/>
    <w:rsid w:val="00D1792B"/>
    <w:rsid w:val="00D2286D"/>
    <w:rsid w:val="00D2358E"/>
    <w:rsid w:val="00D244CB"/>
    <w:rsid w:val="00D2553B"/>
    <w:rsid w:val="00D258D9"/>
    <w:rsid w:val="00D26795"/>
    <w:rsid w:val="00D304C3"/>
    <w:rsid w:val="00D305EC"/>
    <w:rsid w:val="00D30B2F"/>
    <w:rsid w:val="00D30FBA"/>
    <w:rsid w:val="00D32E08"/>
    <w:rsid w:val="00D338A3"/>
    <w:rsid w:val="00D34A8C"/>
    <w:rsid w:val="00D34F7B"/>
    <w:rsid w:val="00D3718E"/>
    <w:rsid w:val="00D403AA"/>
    <w:rsid w:val="00D40625"/>
    <w:rsid w:val="00D40746"/>
    <w:rsid w:val="00D41298"/>
    <w:rsid w:val="00D41A44"/>
    <w:rsid w:val="00D42405"/>
    <w:rsid w:val="00D43CE6"/>
    <w:rsid w:val="00D4441E"/>
    <w:rsid w:val="00D44494"/>
    <w:rsid w:val="00D4491E"/>
    <w:rsid w:val="00D44F53"/>
    <w:rsid w:val="00D4535D"/>
    <w:rsid w:val="00D45508"/>
    <w:rsid w:val="00D4599A"/>
    <w:rsid w:val="00D45BF5"/>
    <w:rsid w:val="00D4635C"/>
    <w:rsid w:val="00D46846"/>
    <w:rsid w:val="00D4684B"/>
    <w:rsid w:val="00D50EE9"/>
    <w:rsid w:val="00D5103D"/>
    <w:rsid w:val="00D51827"/>
    <w:rsid w:val="00D51FAE"/>
    <w:rsid w:val="00D573BA"/>
    <w:rsid w:val="00D60F43"/>
    <w:rsid w:val="00D6128B"/>
    <w:rsid w:val="00D61AB3"/>
    <w:rsid w:val="00D625D3"/>
    <w:rsid w:val="00D63EDA"/>
    <w:rsid w:val="00D64ED8"/>
    <w:rsid w:val="00D64F90"/>
    <w:rsid w:val="00D66054"/>
    <w:rsid w:val="00D6715E"/>
    <w:rsid w:val="00D70399"/>
    <w:rsid w:val="00D716B8"/>
    <w:rsid w:val="00D7292E"/>
    <w:rsid w:val="00D72B09"/>
    <w:rsid w:val="00D744C1"/>
    <w:rsid w:val="00D7599E"/>
    <w:rsid w:val="00D77108"/>
    <w:rsid w:val="00D819AC"/>
    <w:rsid w:val="00D842EA"/>
    <w:rsid w:val="00D84989"/>
    <w:rsid w:val="00D85BA4"/>
    <w:rsid w:val="00D861CC"/>
    <w:rsid w:val="00D87CD7"/>
    <w:rsid w:val="00D90E92"/>
    <w:rsid w:val="00D91691"/>
    <w:rsid w:val="00D94315"/>
    <w:rsid w:val="00D95C9E"/>
    <w:rsid w:val="00D96FF7"/>
    <w:rsid w:val="00D97751"/>
    <w:rsid w:val="00DA0F05"/>
    <w:rsid w:val="00DA0FFB"/>
    <w:rsid w:val="00DA1743"/>
    <w:rsid w:val="00DA2795"/>
    <w:rsid w:val="00DA4082"/>
    <w:rsid w:val="00DA4702"/>
    <w:rsid w:val="00DA4D59"/>
    <w:rsid w:val="00DA5BD1"/>
    <w:rsid w:val="00DA6116"/>
    <w:rsid w:val="00DA79B9"/>
    <w:rsid w:val="00DB077D"/>
    <w:rsid w:val="00DB4139"/>
    <w:rsid w:val="00DB43C3"/>
    <w:rsid w:val="00DB4A84"/>
    <w:rsid w:val="00DB5100"/>
    <w:rsid w:val="00DB5968"/>
    <w:rsid w:val="00DB59EF"/>
    <w:rsid w:val="00DB6920"/>
    <w:rsid w:val="00DB70A3"/>
    <w:rsid w:val="00DC07D8"/>
    <w:rsid w:val="00DC08B6"/>
    <w:rsid w:val="00DD0A4A"/>
    <w:rsid w:val="00DD1D50"/>
    <w:rsid w:val="00DD1F71"/>
    <w:rsid w:val="00DD2C3E"/>
    <w:rsid w:val="00DD6A8A"/>
    <w:rsid w:val="00DD6E6C"/>
    <w:rsid w:val="00DD6FED"/>
    <w:rsid w:val="00DE020E"/>
    <w:rsid w:val="00DE0EC6"/>
    <w:rsid w:val="00DE1087"/>
    <w:rsid w:val="00DE1CA2"/>
    <w:rsid w:val="00DE3AA8"/>
    <w:rsid w:val="00DE3F74"/>
    <w:rsid w:val="00DE5241"/>
    <w:rsid w:val="00DE54C3"/>
    <w:rsid w:val="00DE6EBA"/>
    <w:rsid w:val="00DE73A9"/>
    <w:rsid w:val="00DE76CD"/>
    <w:rsid w:val="00DE79A8"/>
    <w:rsid w:val="00DE7D3A"/>
    <w:rsid w:val="00DE7E68"/>
    <w:rsid w:val="00DF06A5"/>
    <w:rsid w:val="00DF11D2"/>
    <w:rsid w:val="00DF1C9F"/>
    <w:rsid w:val="00DF27F9"/>
    <w:rsid w:val="00DF2820"/>
    <w:rsid w:val="00DF383C"/>
    <w:rsid w:val="00DF3B99"/>
    <w:rsid w:val="00DF4DE2"/>
    <w:rsid w:val="00DF5AB4"/>
    <w:rsid w:val="00DF6F51"/>
    <w:rsid w:val="00DF7F08"/>
    <w:rsid w:val="00E00560"/>
    <w:rsid w:val="00E0371F"/>
    <w:rsid w:val="00E051EA"/>
    <w:rsid w:val="00E06077"/>
    <w:rsid w:val="00E06641"/>
    <w:rsid w:val="00E0671B"/>
    <w:rsid w:val="00E0755C"/>
    <w:rsid w:val="00E078F4"/>
    <w:rsid w:val="00E07F64"/>
    <w:rsid w:val="00E150F5"/>
    <w:rsid w:val="00E1527C"/>
    <w:rsid w:val="00E1549A"/>
    <w:rsid w:val="00E15ABB"/>
    <w:rsid w:val="00E20E28"/>
    <w:rsid w:val="00E216DB"/>
    <w:rsid w:val="00E22E20"/>
    <w:rsid w:val="00E243AA"/>
    <w:rsid w:val="00E25E7B"/>
    <w:rsid w:val="00E25EB8"/>
    <w:rsid w:val="00E264E5"/>
    <w:rsid w:val="00E30B10"/>
    <w:rsid w:val="00E30DC2"/>
    <w:rsid w:val="00E3133D"/>
    <w:rsid w:val="00E3191D"/>
    <w:rsid w:val="00E31C11"/>
    <w:rsid w:val="00E32013"/>
    <w:rsid w:val="00E322EC"/>
    <w:rsid w:val="00E324B1"/>
    <w:rsid w:val="00E33044"/>
    <w:rsid w:val="00E334AF"/>
    <w:rsid w:val="00E3521C"/>
    <w:rsid w:val="00E3521F"/>
    <w:rsid w:val="00E3608C"/>
    <w:rsid w:val="00E41342"/>
    <w:rsid w:val="00E45E66"/>
    <w:rsid w:val="00E47F3A"/>
    <w:rsid w:val="00E51A9A"/>
    <w:rsid w:val="00E522AF"/>
    <w:rsid w:val="00E53531"/>
    <w:rsid w:val="00E54C18"/>
    <w:rsid w:val="00E561FF"/>
    <w:rsid w:val="00E6173E"/>
    <w:rsid w:val="00E6184B"/>
    <w:rsid w:val="00E63682"/>
    <w:rsid w:val="00E648DE"/>
    <w:rsid w:val="00E66276"/>
    <w:rsid w:val="00E669DD"/>
    <w:rsid w:val="00E678ED"/>
    <w:rsid w:val="00E67A5F"/>
    <w:rsid w:val="00E70E48"/>
    <w:rsid w:val="00E7461C"/>
    <w:rsid w:val="00E74629"/>
    <w:rsid w:val="00E74870"/>
    <w:rsid w:val="00E749B6"/>
    <w:rsid w:val="00E80C5A"/>
    <w:rsid w:val="00E81DD9"/>
    <w:rsid w:val="00E82427"/>
    <w:rsid w:val="00E82A6E"/>
    <w:rsid w:val="00E8393E"/>
    <w:rsid w:val="00E84C33"/>
    <w:rsid w:val="00E913EA"/>
    <w:rsid w:val="00E928BB"/>
    <w:rsid w:val="00E93241"/>
    <w:rsid w:val="00E93F8A"/>
    <w:rsid w:val="00E957CF"/>
    <w:rsid w:val="00E95859"/>
    <w:rsid w:val="00E95C78"/>
    <w:rsid w:val="00E9703A"/>
    <w:rsid w:val="00E9746B"/>
    <w:rsid w:val="00E97607"/>
    <w:rsid w:val="00EA1651"/>
    <w:rsid w:val="00EA6A5D"/>
    <w:rsid w:val="00EA72F4"/>
    <w:rsid w:val="00EA7E8D"/>
    <w:rsid w:val="00EB063D"/>
    <w:rsid w:val="00EB0A6D"/>
    <w:rsid w:val="00EB0AFA"/>
    <w:rsid w:val="00EB1AD3"/>
    <w:rsid w:val="00EB2733"/>
    <w:rsid w:val="00EB5AD9"/>
    <w:rsid w:val="00EB6CDB"/>
    <w:rsid w:val="00EC214A"/>
    <w:rsid w:val="00EC252A"/>
    <w:rsid w:val="00EC2947"/>
    <w:rsid w:val="00EC2A6B"/>
    <w:rsid w:val="00EC3B0F"/>
    <w:rsid w:val="00EC5CA6"/>
    <w:rsid w:val="00ED079B"/>
    <w:rsid w:val="00ED4315"/>
    <w:rsid w:val="00ED50FE"/>
    <w:rsid w:val="00EE092A"/>
    <w:rsid w:val="00EE0D23"/>
    <w:rsid w:val="00EE29AB"/>
    <w:rsid w:val="00EE54CE"/>
    <w:rsid w:val="00EE5753"/>
    <w:rsid w:val="00EE5894"/>
    <w:rsid w:val="00EE6735"/>
    <w:rsid w:val="00EF0A0A"/>
    <w:rsid w:val="00EF0DB0"/>
    <w:rsid w:val="00EF1163"/>
    <w:rsid w:val="00EF328B"/>
    <w:rsid w:val="00EF387D"/>
    <w:rsid w:val="00EF3984"/>
    <w:rsid w:val="00EF54D8"/>
    <w:rsid w:val="00EF5711"/>
    <w:rsid w:val="00EF5EAE"/>
    <w:rsid w:val="00EF78E8"/>
    <w:rsid w:val="00F00132"/>
    <w:rsid w:val="00F0036E"/>
    <w:rsid w:val="00F01A08"/>
    <w:rsid w:val="00F02C3C"/>
    <w:rsid w:val="00F0772B"/>
    <w:rsid w:val="00F10ED3"/>
    <w:rsid w:val="00F10F6D"/>
    <w:rsid w:val="00F12612"/>
    <w:rsid w:val="00F14DF9"/>
    <w:rsid w:val="00F163BF"/>
    <w:rsid w:val="00F20800"/>
    <w:rsid w:val="00F25C6F"/>
    <w:rsid w:val="00F25E58"/>
    <w:rsid w:val="00F26CD4"/>
    <w:rsid w:val="00F27A77"/>
    <w:rsid w:val="00F30DDE"/>
    <w:rsid w:val="00F31FCE"/>
    <w:rsid w:val="00F3228D"/>
    <w:rsid w:val="00F35457"/>
    <w:rsid w:val="00F36026"/>
    <w:rsid w:val="00F36105"/>
    <w:rsid w:val="00F406B6"/>
    <w:rsid w:val="00F40A6D"/>
    <w:rsid w:val="00F40B6C"/>
    <w:rsid w:val="00F42E3C"/>
    <w:rsid w:val="00F42F1B"/>
    <w:rsid w:val="00F4319B"/>
    <w:rsid w:val="00F46514"/>
    <w:rsid w:val="00F46D39"/>
    <w:rsid w:val="00F46E7A"/>
    <w:rsid w:val="00F47FA6"/>
    <w:rsid w:val="00F5023B"/>
    <w:rsid w:val="00F5023C"/>
    <w:rsid w:val="00F51020"/>
    <w:rsid w:val="00F51D73"/>
    <w:rsid w:val="00F526CF"/>
    <w:rsid w:val="00F55B0F"/>
    <w:rsid w:val="00F55FF9"/>
    <w:rsid w:val="00F6097B"/>
    <w:rsid w:val="00F60B89"/>
    <w:rsid w:val="00F61172"/>
    <w:rsid w:val="00F624C2"/>
    <w:rsid w:val="00F62A01"/>
    <w:rsid w:val="00F63FBB"/>
    <w:rsid w:val="00F704FC"/>
    <w:rsid w:val="00F70548"/>
    <w:rsid w:val="00F73DFB"/>
    <w:rsid w:val="00F73E9F"/>
    <w:rsid w:val="00F754DF"/>
    <w:rsid w:val="00F767A4"/>
    <w:rsid w:val="00F76822"/>
    <w:rsid w:val="00F8136B"/>
    <w:rsid w:val="00F81653"/>
    <w:rsid w:val="00F81DDE"/>
    <w:rsid w:val="00F83E90"/>
    <w:rsid w:val="00F851EC"/>
    <w:rsid w:val="00F859E5"/>
    <w:rsid w:val="00F85DA7"/>
    <w:rsid w:val="00F86288"/>
    <w:rsid w:val="00F87E97"/>
    <w:rsid w:val="00F91183"/>
    <w:rsid w:val="00F9120E"/>
    <w:rsid w:val="00F95DB3"/>
    <w:rsid w:val="00F97C0A"/>
    <w:rsid w:val="00FA007B"/>
    <w:rsid w:val="00FA0C51"/>
    <w:rsid w:val="00FA0C7A"/>
    <w:rsid w:val="00FA1405"/>
    <w:rsid w:val="00FA210F"/>
    <w:rsid w:val="00FA29B7"/>
    <w:rsid w:val="00FA3685"/>
    <w:rsid w:val="00FA3F0B"/>
    <w:rsid w:val="00FA4C29"/>
    <w:rsid w:val="00FA4F7D"/>
    <w:rsid w:val="00FA5C47"/>
    <w:rsid w:val="00FB0963"/>
    <w:rsid w:val="00FB0BA5"/>
    <w:rsid w:val="00FB1393"/>
    <w:rsid w:val="00FB25CF"/>
    <w:rsid w:val="00FB2939"/>
    <w:rsid w:val="00FB32B5"/>
    <w:rsid w:val="00FB3428"/>
    <w:rsid w:val="00FB4EEB"/>
    <w:rsid w:val="00FB542B"/>
    <w:rsid w:val="00FB599C"/>
    <w:rsid w:val="00FB5CB7"/>
    <w:rsid w:val="00FB5E0E"/>
    <w:rsid w:val="00FB6A98"/>
    <w:rsid w:val="00FB6B00"/>
    <w:rsid w:val="00FB7AE8"/>
    <w:rsid w:val="00FC091C"/>
    <w:rsid w:val="00FC27C2"/>
    <w:rsid w:val="00FC4481"/>
    <w:rsid w:val="00FC5B21"/>
    <w:rsid w:val="00FC5ECF"/>
    <w:rsid w:val="00FC7668"/>
    <w:rsid w:val="00FC7CDF"/>
    <w:rsid w:val="00FD17F4"/>
    <w:rsid w:val="00FD18EB"/>
    <w:rsid w:val="00FD19DD"/>
    <w:rsid w:val="00FD1C37"/>
    <w:rsid w:val="00FD2B1B"/>
    <w:rsid w:val="00FD477D"/>
    <w:rsid w:val="00FD5C66"/>
    <w:rsid w:val="00FD67BD"/>
    <w:rsid w:val="00FD79B9"/>
    <w:rsid w:val="00FE1607"/>
    <w:rsid w:val="00FE2ED6"/>
    <w:rsid w:val="00FE44DD"/>
    <w:rsid w:val="00FE4A5C"/>
    <w:rsid w:val="00FE6DB0"/>
    <w:rsid w:val="00FE6E11"/>
    <w:rsid w:val="00FE781F"/>
    <w:rsid w:val="00FE7832"/>
    <w:rsid w:val="00FE7DDD"/>
    <w:rsid w:val="00FF4028"/>
    <w:rsid w:val="00FF4495"/>
    <w:rsid w:val="00FF55E6"/>
    <w:rsid w:val="00FF5C71"/>
    <w:rsid w:val="00FF6020"/>
    <w:rsid w:val="00FF7381"/>
    <w:rsid w:val="0105790B"/>
    <w:rsid w:val="013B65FE"/>
    <w:rsid w:val="017E63B3"/>
    <w:rsid w:val="01863873"/>
    <w:rsid w:val="018A7679"/>
    <w:rsid w:val="01AB5765"/>
    <w:rsid w:val="02237B4A"/>
    <w:rsid w:val="0250621C"/>
    <w:rsid w:val="025A5607"/>
    <w:rsid w:val="02753F82"/>
    <w:rsid w:val="02806969"/>
    <w:rsid w:val="028D3650"/>
    <w:rsid w:val="02AD583D"/>
    <w:rsid w:val="02AF3E19"/>
    <w:rsid w:val="032916F9"/>
    <w:rsid w:val="033124A2"/>
    <w:rsid w:val="036839EA"/>
    <w:rsid w:val="03C92813"/>
    <w:rsid w:val="03D60285"/>
    <w:rsid w:val="03EA43FF"/>
    <w:rsid w:val="04856456"/>
    <w:rsid w:val="04B03C6D"/>
    <w:rsid w:val="04C7226C"/>
    <w:rsid w:val="04E34BC0"/>
    <w:rsid w:val="04F96FF0"/>
    <w:rsid w:val="050B6736"/>
    <w:rsid w:val="052353E3"/>
    <w:rsid w:val="052533C8"/>
    <w:rsid w:val="052E47BF"/>
    <w:rsid w:val="05472020"/>
    <w:rsid w:val="05CD1EC8"/>
    <w:rsid w:val="05DE7F94"/>
    <w:rsid w:val="06851107"/>
    <w:rsid w:val="06A500E6"/>
    <w:rsid w:val="06B53B8C"/>
    <w:rsid w:val="06C7006B"/>
    <w:rsid w:val="06C96BEF"/>
    <w:rsid w:val="06F832D7"/>
    <w:rsid w:val="07051204"/>
    <w:rsid w:val="07082715"/>
    <w:rsid w:val="07167608"/>
    <w:rsid w:val="0736689A"/>
    <w:rsid w:val="07373DFF"/>
    <w:rsid w:val="073C0662"/>
    <w:rsid w:val="07463945"/>
    <w:rsid w:val="077855B5"/>
    <w:rsid w:val="07834FAC"/>
    <w:rsid w:val="07856703"/>
    <w:rsid w:val="0797489E"/>
    <w:rsid w:val="07D15961"/>
    <w:rsid w:val="07DC396C"/>
    <w:rsid w:val="082D6FB0"/>
    <w:rsid w:val="08321A81"/>
    <w:rsid w:val="08876261"/>
    <w:rsid w:val="08920739"/>
    <w:rsid w:val="08934557"/>
    <w:rsid w:val="090A635C"/>
    <w:rsid w:val="09592A58"/>
    <w:rsid w:val="096219B5"/>
    <w:rsid w:val="097B29A3"/>
    <w:rsid w:val="09921E92"/>
    <w:rsid w:val="099F4BAF"/>
    <w:rsid w:val="09D94940"/>
    <w:rsid w:val="09E047E1"/>
    <w:rsid w:val="0A09040F"/>
    <w:rsid w:val="0A1E5019"/>
    <w:rsid w:val="0A2701A1"/>
    <w:rsid w:val="0A59794E"/>
    <w:rsid w:val="0A8173ED"/>
    <w:rsid w:val="0A856C30"/>
    <w:rsid w:val="0A9469B8"/>
    <w:rsid w:val="0B2428ED"/>
    <w:rsid w:val="0B687722"/>
    <w:rsid w:val="0B7B7D63"/>
    <w:rsid w:val="0B81389B"/>
    <w:rsid w:val="0B995C03"/>
    <w:rsid w:val="0BC40F19"/>
    <w:rsid w:val="0BE95B43"/>
    <w:rsid w:val="0BF202F5"/>
    <w:rsid w:val="0C4935C7"/>
    <w:rsid w:val="0C611DB4"/>
    <w:rsid w:val="0C6477B8"/>
    <w:rsid w:val="0C7F0C0B"/>
    <w:rsid w:val="0CC71781"/>
    <w:rsid w:val="0CFF66CC"/>
    <w:rsid w:val="0D0B3A5D"/>
    <w:rsid w:val="0D2225D4"/>
    <w:rsid w:val="0D505563"/>
    <w:rsid w:val="0D773AD3"/>
    <w:rsid w:val="0D7A67F4"/>
    <w:rsid w:val="0D940F26"/>
    <w:rsid w:val="0E5878E5"/>
    <w:rsid w:val="0E977663"/>
    <w:rsid w:val="0EB7606C"/>
    <w:rsid w:val="0F032819"/>
    <w:rsid w:val="0F3375A2"/>
    <w:rsid w:val="0F9B4D05"/>
    <w:rsid w:val="0FA41579"/>
    <w:rsid w:val="0FB93AE4"/>
    <w:rsid w:val="0FBA381F"/>
    <w:rsid w:val="0FC03980"/>
    <w:rsid w:val="0FFA4085"/>
    <w:rsid w:val="0FFB311B"/>
    <w:rsid w:val="103105D9"/>
    <w:rsid w:val="104C2D30"/>
    <w:rsid w:val="1053332C"/>
    <w:rsid w:val="107C2C7E"/>
    <w:rsid w:val="10892764"/>
    <w:rsid w:val="10E24DE5"/>
    <w:rsid w:val="10FE082D"/>
    <w:rsid w:val="113601B9"/>
    <w:rsid w:val="11395D7E"/>
    <w:rsid w:val="113B53ED"/>
    <w:rsid w:val="11A03EA8"/>
    <w:rsid w:val="11BE4AF4"/>
    <w:rsid w:val="120F3552"/>
    <w:rsid w:val="122761B2"/>
    <w:rsid w:val="1229756A"/>
    <w:rsid w:val="12502219"/>
    <w:rsid w:val="125D0185"/>
    <w:rsid w:val="12982FB6"/>
    <w:rsid w:val="12AE466B"/>
    <w:rsid w:val="12CF5147"/>
    <w:rsid w:val="12E01039"/>
    <w:rsid w:val="13131927"/>
    <w:rsid w:val="13451652"/>
    <w:rsid w:val="134C1057"/>
    <w:rsid w:val="139531A9"/>
    <w:rsid w:val="13AA45F2"/>
    <w:rsid w:val="13DB5B12"/>
    <w:rsid w:val="13DF188D"/>
    <w:rsid w:val="13E03E24"/>
    <w:rsid w:val="13FA2E73"/>
    <w:rsid w:val="13FD42A8"/>
    <w:rsid w:val="140830CA"/>
    <w:rsid w:val="14160404"/>
    <w:rsid w:val="141E1ADE"/>
    <w:rsid w:val="1424239C"/>
    <w:rsid w:val="145D7F43"/>
    <w:rsid w:val="146F68FE"/>
    <w:rsid w:val="149503B7"/>
    <w:rsid w:val="14AE1E28"/>
    <w:rsid w:val="14C479D3"/>
    <w:rsid w:val="14E55D7D"/>
    <w:rsid w:val="15076115"/>
    <w:rsid w:val="150F2EF1"/>
    <w:rsid w:val="15205444"/>
    <w:rsid w:val="157A2AC8"/>
    <w:rsid w:val="15826B8D"/>
    <w:rsid w:val="15893520"/>
    <w:rsid w:val="159D7523"/>
    <w:rsid w:val="16612BC4"/>
    <w:rsid w:val="169442FD"/>
    <w:rsid w:val="169D12DA"/>
    <w:rsid w:val="16A80D4A"/>
    <w:rsid w:val="16D25783"/>
    <w:rsid w:val="170A22CC"/>
    <w:rsid w:val="176000E3"/>
    <w:rsid w:val="17902473"/>
    <w:rsid w:val="179462E5"/>
    <w:rsid w:val="17D97554"/>
    <w:rsid w:val="18253279"/>
    <w:rsid w:val="1853036D"/>
    <w:rsid w:val="186500A0"/>
    <w:rsid w:val="18B52DD6"/>
    <w:rsid w:val="18BB3557"/>
    <w:rsid w:val="18D76F41"/>
    <w:rsid w:val="18EB0FB5"/>
    <w:rsid w:val="18EF453A"/>
    <w:rsid w:val="18FA4C14"/>
    <w:rsid w:val="18FF6D5B"/>
    <w:rsid w:val="19132C52"/>
    <w:rsid w:val="1979624A"/>
    <w:rsid w:val="19A52E4A"/>
    <w:rsid w:val="19E231D4"/>
    <w:rsid w:val="19FC61C0"/>
    <w:rsid w:val="1A347793"/>
    <w:rsid w:val="1A4E02FF"/>
    <w:rsid w:val="1AB9474C"/>
    <w:rsid w:val="1AC06CD4"/>
    <w:rsid w:val="1AE04F3D"/>
    <w:rsid w:val="1AF220BF"/>
    <w:rsid w:val="1AF62354"/>
    <w:rsid w:val="1AF71484"/>
    <w:rsid w:val="1B375D24"/>
    <w:rsid w:val="1B3D4561"/>
    <w:rsid w:val="1B961853"/>
    <w:rsid w:val="1BA53AEE"/>
    <w:rsid w:val="1BAF48EB"/>
    <w:rsid w:val="1BC742A1"/>
    <w:rsid w:val="1C022CD8"/>
    <w:rsid w:val="1C0E1F2F"/>
    <w:rsid w:val="1C242C2D"/>
    <w:rsid w:val="1C302E5D"/>
    <w:rsid w:val="1C381278"/>
    <w:rsid w:val="1C5912AF"/>
    <w:rsid w:val="1C767B21"/>
    <w:rsid w:val="1C901B90"/>
    <w:rsid w:val="1CAD765E"/>
    <w:rsid w:val="1CB62ACE"/>
    <w:rsid w:val="1CD01FF8"/>
    <w:rsid w:val="1CD53D90"/>
    <w:rsid w:val="1CF72AD0"/>
    <w:rsid w:val="1CFF0DBA"/>
    <w:rsid w:val="1D1964B6"/>
    <w:rsid w:val="1D3544E5"/>
    <w:rsid w:val="1D4B6313"/>
    <w:rsid w:val="1DFF6DBD"/>
    <w:rsid w:val="1EAF37D3"/>
    <w:rsid w:val="1EBA1146"/>
    <w:rsid w:val="1ED90EA2"/>
    <w:rsid w:val="1EE37A50"/>
    <w:rsid w:val="1F0B00AA"/>
    <w:rsid w:val="1F124243"/>
    <w:rsid w:val="1F2C7F85"/>
    <w:rsid w:val="1F8C04D8"/>
    <w:rsid w:val="200D57B0"/>
    <w:rsid w:val="201E1BAA"/>
    <w:rsid w:val="205729C2"/>
    <w:rsid w:val="207D5D6C"/>
    <w:rsid w:val="20873702"/>
    <w:rsid w:val="208C1664"/>
    <w:rsid w:val="20CB3016"/>
    <w:rsid w:val="20D77476"/>
    <w:rsid w:val="214B6943"/>
    <w:rsid w:val="215018EE"/>
    <w:rsid w:val="216B7F51"/>
    <w:rsid w:val="21AA4CF1"/>
    <w:rsid w:val="21AD6D40"/>
    <w:rsid w:val="21E26046"/>
    <w:rsid w:val="22066450"/>
    <w:rsid w:val="220E1CE3"/>
    <w:rsid w:val="224529DC"/>
    <w:rsid w:val="224551CB"/>
    <w:rsid w:val="228925D7"/>
    <w:rsid w:val="229438B2"/>
    <w:rsid w:val="22E768D2"/>
    <w:rsid w:val="22F84732"/>
    <w:rsid w:val="23072480"/>
    <w:rsid w:val="23782F3B"/>
    <w:rsid w:val="23991E57"/>
    <w:rsid w:val="23B6064F"/>
    <w:rsid w:val="23DA01AD"/>
    <w:rsid w:val="23EB3B50"/>
    <w:rsid w:val="24170E0E"/>
    <w:rsid w:val="24217571"/>
    <w:rsid w:val="24220022"/>
    <w:rsid w:val="24246DC7"/>
    <w:rsid w:val="24262DDA"/>
    <w:rsid w:val="244244E1"/>
    <w:rsid w:val="24621288"/>
    <w:rsid w:val="246F1766"/>
    <w:rsid w:val="24833D88"/>
    <w:rsid w:val="248B4FD2"/>
    <w:rsid w:val="24AB2341"/>
    <w:rsid w:val="24B00FF9"/>
    <w:rsid w:val="24E81EAD"/>
    <w:rsid w:val="24F13EBF"/>
    <w:rsid w:val="24F923B6"/>
    <w:rsid w:val="25183CA6"/>
    <w:rsid w:val="25537A39"/>
    <w:rsid w:val="255459ED"/>
    <w:rsid w:val="25621CB7"/>
    <w:rsid w:val="25772C9F"/>
    <w:rsid w:val="258D2523"/>
    <w:rsid w:val="25B06BCF"/>
    <w:rsid w:val="26084E8D"/>
    <w:rsid w:val="261D0398"/>
    <w:rsid w:val="263072FD"/>
    <w:rsid w:val="26396DF4"/>
    <w:rsid w:val="264779F7"/>
    <w:rsid w:val="26B24DF9"/>
    <w:rsid w:val="274B08A9"/>
    <w:rsid w:val="274C1A24"/>
    <w:rsid w:val="275F3C2F"/>
    <w:rsid w:val="2761094C"/>
    <w:rsid w:val="276D7AE0"/>
    <w:rsid w:val="277420AE"/>
    <w:rsid w:val="27767BE0"/>
    <w:rsid w:val="27B64475"/>
    <w:rsid w:val="27BB7CDD"/>
    <w:rsid w:val="2819580E"/>
    <w:rsid w:val="28215785"/>
    <w:rsid w:val="282E3F1F"/>
    <w:rsid w:val="283D69F1"/>
    <w:rsid w:val="28457D0E"/>
    <w:rsid w:val="284A0852"/>
    <w:rsid w:val="28546167"/>
    <w:rsid w:val="28551EE0"/>
    <w:rsid w:val="285B404D"/>
    <w:rsid w:val="285D331F"/>
    <w:rsid w:val="289E5D8E"/>
    <w:rsid w:val="28B2560A"/>
    <w:rsid w:val="28DD7A4C"/>
    <w:rsid w:val="28E86836"/>
    <w:rsid w:val="29795DA5"/>
    <w:rsid w:val="299076C0"/>
    <w:rsid w:val="29A06D5A"/>
    <w:rsid w:val="29F848D2"/>
    <w:rsid w:val="2A1E636A"/>
    <w:rsid w:val="2A273408"/>
    <w:rsid w:val="2A515476"/>
    <w:rsid w:val="2A5A6F8E"/>
    <w:rsid w:val="2A7F1BBE"/>
    <w:rsid w:val="2A81344D"/>
    <w:rsid w:val="2B151462"/>
    <w:rsid w:val="2B3B333C"/>
    <w:rsid w:val="2B4D50F0"/>
    <w:rsid w:val="2B55240C"/>
    <w:rsid w:val="2B6C2598"/>
    <w:rsid w:val="2B7D0D44"/>
    <w:rsid w:val="2B8911DF"/>
    <w:rsid w:val="2B99227F"/>
    <w:rsid w:val="2BCD4DD3"/>
    <w:rsid w:val="2BD10CEF"/>
    <w:rsid w:val="2BE37B42"/>
    <w:rsid w:val="2C1125C1"/>
    <w:rsid w:val="2C1D236E"/>
    <w:rsid w:val="2C4416B7"/>
    <w:rsid w:val="2C5000EA"/>
    <w:rsid w:val="2C60584C"/>
    <w:rsid w:val="2C7D3E26"/>
    <w:rsid w:val="2C877AD6"/>
    <w:rsid w:val="2C966DA3"/>
    <w:rsid w:val="2CE33F5E"/>
    <w:rsid w:val="2CF871C7"/>
    <w:rsid w:val="2D1E4E23"/>
    <w:rsid w:val="2D1E755B"/>
    <w:rsid w:val="2D33417F"/>
    <w:rsid w:val="2D3724B0"/>
    <w:rsid w:val="2D5C7075"/>
    <w:rsid w:val="2D6D3E71"/>
    <w:rsid w:val="2D717477"/>
    <w:rsid w:val="2D8A1D44"/>
    <w:rsid w:val="2D970AE8"/>
    <w:rsid w:val="2E0D4B1F"/>
    <w:rsid w:val="2E3F7067"/>
    <w:rsid w:val="2E561026"/>
    <w:rsid w:val="2E7110F5"/>
    <w:rsid w:val="2E9D013C"/>
    <w:rsid w:val="2F212E53"/>
    <w:rsid w:val="2F4D3910"/>
    <w:rsid w:val="2F500676"/>
    <w:rsid w:val="2F601896"/>
    <w:rsid w:val="2F660E29"/>
    <w:rsid w:val="2FB219C5"/>
    <w:rsid w:val="2FF02B05"/>
    <w:rsid w:val="30073A5F"/>
    <w:rsid w:val="303164B3"/>
    <w:rsid w:val="30416508"/>
    <w:rsid w:val="30583912"/>
    <w:rsid w:val="30690F61"/>
    <w:rsid w:val="30705D6C"/>
    <w:rsid w:val="30B5662C"/>
    <w:rsid w:val="30E3647A"/>
    <w:rsid w:val="30FE060A"/>
    <w:rsid w:val="31034461"/>
    <w:rsid w:val="31425789"/>
    <w:rsid w:val="31496B08"/>
    <w:rsid w:val="31677DD5"/>
    <w:rsid w:val="31696E14"/>
    <w:rsid w:val="316A07AA"/>
    <w:rsid w:val="3174748D"/>
    <w:rsid w:val="31784309"/>
    <w:rsid w:val="31B947B6"/>
    <w:rsid w:val="321150C9"/>
    <w:rsid w:val="321A5747"/>
    <w:rsid w:val="322E0888"/>
    <w:rsid w:val="32384EDB"/>
    <w:rsid w:val="323D4800"/>
    <w:rsid w:val="326D46F1"/>
    <w:rsid w:val="329F36E9"/>
    <w:rsid w:val="32B65AF9"/>
    <w:rsid w:val="3371728B"/>
    <w:rsid w:val="338B3349"/>
    <w:rsid w:val="338D4AEA"/>
    <w:rsid w:val="338D7569"/>
    <w:rsid w:val="33D4015C"/>
    <w:rsid w:val="34184CB3"/>
    <w:rsid w:val="346C45C8"/>
    <w:rsid w:val="34A264AC"/>
    <w:rsid w:val="34AC2A1E"/>
    <w:rsid w:val="34B41D3C"/>
    <w:rsid w:val="35072496"/>
    <w:rsid w:val="356801C5"/>
    <w:rsid w:val="3569521C"/>
    <w:rsid w:val="35702107"/>
    <w:rsid w:val="35775243"/>
    <w:rsid w:val="358C2AB1"/>
    <w:rsid w:val="35A104D5"/>
    <w:rsid w:val="35B73D61"/>
    <w:rsid w:val="36195BEB"/>
    <w:rsid w:val="362B41BA"/>
    <w:rsid w:val="36371A8D"/>
    <w:rsid w:val="363E2205"/>
    <w:rsid w:val="363F53B4"/>
    <w:rsid w:val="366B0976"/>
    <w:rsid w:val="366E07E8"/>
    <w:rsid w:val="36C20D6D"/>
    <w:rsid w:val="36FA6308"/>
    <w:rsid w:val="371C74D7"/>
    <w:rsid w:val="372D271F"/>
    <w:rsid w:val="3761067D"/>
    <w:rsid w:val="377A7497"/>
    <w:rsid w:val="379540A7"/>
    <w:rsid w:val="37CB4B62"/>
    <w:rsid w:val="37D60F66"/>
    <w:rsid w:val="37F030A3"/>
    <w:rsid w:val="37F7510E"/>
    <w:rsid w:val="382B67B9"/>
    <w:rsid w:val="384F43B6"/>
    <w:rsid w:val="38A1332F"/>
    <w:rsid w:val="38BE6768"/>
    <w:rsid w:val="38D27CAD"/>
    <w:rsid w:val="38F453FB"/>
    <w:rsid w:val="390F2DDF"/>
    <w:rsid w:val="391A261B"/>
    <w:rsid w:val="395B702C"/>
    <w:rsid w:val="39616936"/>
    <w:rsid w:val="39B9684F"/>
    <w:rsid w:val="39BA4298"/>
    <w:rsid w:val="39E240A8"/>
    <w:rsid w:val="39F5707E"/>
    <w:rsid w:val="3A1F40FB"/>
    <w:rsid w:val="3A40479E"/>
    <w:rsid w:val="3A5E2E76"/>
    <w:rsid w:val="3A811776"/>
    <w:rsid w:val="3A9851E5"/>
    <w:rsid w:val="3ADE06F1"/>
    <w:rsid w:val="3ADE1BA2"/>
    <w:rsid w:val="3B686C26"/>
    <w:rsid w:val="3B722A21"/>
    <w:rsid w:val="3B7B795A"/>
    <w:rsid w:val="3B7E16C6"/>
    <w:rsid w:val="3B965D47"/>
    <w:rsid w:val="3BA02FAB"/>
    <w:rsid w:val="3BA102A0"/>
    <w:rsid w:val="3BAD6859"/>
    <w:rsid w:val="3BFD221A"/>
    <w:rsid w:val="3C0178D1"/>
    <w:rsid w:val="3C38054A"/>
    <w:rsid w:val="3C38407C"/>
    <w:rsid w:val="3C3A5E97"/>
    <w:rsid w:val="3C607499"/>
    <w:rsid w:val="3CA45AB5"/>
    <w:rsid w:val="3CD034CE"/>
    <w:rsid w:val="3D0E59F4"/>
    <w:rsid w:val="3D154DD3"/>
    <w:rsid w:val="3D224867"/>
    <w:rsid w:val="3D2853FF"/>
    <w:rsid w:val="3D513987"/>
    <w:rsid w:val="3D5C559B"/>
    <w:rsid w:val="3D5E440F"/>
    <w:rsid w:val="3D7A6218"/>
    <w:rsid w:val="3D874491"/>
    <w:rsid w:val="3D940F85"/>
    <w:rsid w:val="3DA90F30"/>
    <w:rsid w:val="3DBB238D"/>
    <w:rsid w:val="3DBF46FB"/>
    <w:rsid w:val="3DC54FBA"/>
    <w:rsid w:val="3E0E7BD0"/>
    <w:rsid w:val="3E167975"/>
    <w:rsid w:val="3E3068D7"/>
    <w:rsid w:val="3E35213F"/>
    <w:rsid w:val="3E407EB6"/>
    <w:rsid w:val="3E41779C"/>
    <w:rsid w:val="3E4E473A"/>
    <w:rsid w:val="3E52627A"/>
    <w:rsid w:val="3E575A6E"/>
    <w:rsid w:val="3E692700"/>
    <w:rsid w:val="3E8D1F7B"/>
    <w:rsid w:val="3E9362D1"/>
    <w:rsid w:val="3ED25ECD"/>
    <w:rsid w:val="3F580F99"/>
    <w:rsid w:val="3F650802"/>
    <w:rsid w:val="3FB038C5"/>
    <w:rsid w:val="3FB51AE8"/>
    <w:rsid w:val="3FDF038F"/>
    <w:rsid w:val="40140424"/>
    <w:rsid w:val="40380B4F"/>
    <w:rsid w:val="403E1118"/>
    <w:rsid w:val="4054015C"/>
    <w:rsid w:val="40567D57"/>
    <w:rsid w:val="40587A46"/>
    <w:rsid w:val="40820BBF"/>
    <w:rsid w:val="40880C4C"/>
    <w:rsid w:val="40CA1D70"/>
    <w:rsid w:val="40CC34C8"/>
    <w:rsid w:val="40D608F3"/>
    <w:rsid w:val="40D93256"/>
    <w:rsid w:val="410061AC"/>
    <w:rsid w:val="41177B7C"/>
    <w:rsid w:val="41241D57"/>
    <w:rsid w:val="412C51E5"/>
    <w:rsid w:val="41430023"/>
    <w:rsid w:val="414739FA"/>
    <w:rsid w:val="4177558C"/>
    <w:rsid w:val="417E0F81"/>
    <w:rsid w:val="41863D15"/>
    <w:rsid w:val="41A533AD"/>
    <w:rsid w:val="41B660C0"/>
    <w:rsid w:val="41BA2399"/>
    <w:rsid w:val="41CD4939"/>
    <w:rsid w:val="423746D8"/>
    <w:rsid w:val="4249440B"/>
    <w:rsid w:val="42522B0D"/>
    <w:rsid w:val="42642D2E"/>
    <w:rsid w:val="42857B53"/>
    <w:rsid w:val="42870A90"/>
    <w:rsid w:val="42C05AF7"/>
    <w:rsid w:val="42C43360"/>
    <w:rsid w:val="42D6392D"/>
    <w:rsid w:val="42F629C9"/>
    <w:rsid w:val="430B7913"/>
    <w:rsid w:val="4326250D"/>
    <w:rsid w:val="43F57574"/>
    <w:rsid w:val="43FC18E7"/>
    <w:rsid w:val="44085D4F"/>
    <w:rsid w:val="443377D2"/>
    <w:rsid w:val="44504BFC"/>
    <w:rsid w:val="44824BED"/>
    <w:rsid w:val="44A43B7B"/>
    <w:rsid w:val="44A616A1"/>
    <w:rsid w:val="44F34F8D"/>
    <w:rsid w:val="45102FBE"/>
    <w:rsid w:val="45347714"/>
    <w:rsid w:val="454765B5"/>
    <w:rsid w:val="4578565E"/>
    <w:rsid w:val="458D0AB3"/>
    <w:rsid w:val="45D9584E"/>
    <w:rsid w:val="46086E79"/>
    <w:rsid w:val="46364733"/>
    <w:rsid w:val="465A2DAC"/>
    <w:rsid w:val="46785AC8"/>
    <w:rsid w:val="46A11D0E"/>
    <w:rsid w:val="46B14CE3"/>
    <w:rsid w:val="46B43ECE"/>
    <w:rsid w:val="46D35F8F"/>
    <w:rsid w:val="470F7109"/>
    <w:rsid w:val="473308F9"/>
    <w:rsid w:val="47702A0F"/>
    <w:rsid w:val="4785045E"/>
    <w:rsid w:val="47953C4F"/>
    <w:rsid w:val="47AD71EA"/>
    <w:rsid w:val="47BE64D2"/>
    <w:rsid w:val="47E50732"/>
    <w:rsid w:val="47E75568"/>
    <w:rsid w:val="47FC1AD3"/>
    <w:rsid w:val="4859616E"/>
    <w:rsid w:val="487F2935"/>
    <w:rsid w:val="489B570F"/>
    <w:rsid w:val="48A028AB"/>
    <w:rsid w:val="48C85C95"/>
    <w:rsid w:val="48D030C7"/>
    <w:rsid w:val="48E55F25"/>
    <w:rsid w:val="48EE6F7C"/>
    <w:rsid w:val="4907292A"/>
    <w:rsid w:val="4944683A"/>
    <w:rsid w:val="496D6C31"/>
    <w:rsid w:val="497435D6"/>
    <w:rsid w:val="497F4802"/>
    <w:rsid w:val="49965610"/>
    <w:rsid w:val="49B77EAC"/>
    <w:rsid w:val="49E05F48"/>
    <w:rsid w:val="49F23631"/>
    <w:rsid w:val="49F619EE"/>
    <w:rsid w:val="4A0664CA"/>
    <w:rsid w:val="4A081BBF"/>
    <w:rsid w:val="4A211854"/>
    <w:rsid w:val="4A6F3B9F"/>
    <w:rsid w:val="4AA401D9"/>
    <w:rsid w:val="4AB31D2A"/>
    <w:rsid w:val="4ABF34BD"/>
    <w:rsid w:val="4AC7311A"/>
    <w:rsid w:val="4AF72F86"/>
    <w:rsid w:val="4B5A4F93"/>
    <w:rsid w:val="4BAC561A"/>
    <w:rsid w:val="4BE447B1"/>
    <w:rsid w:val="4C0A2702"/>
    <w:rsid w:val="4C241635"/>
    <w:rsid w:val="4C3D5075"/>
    <w:rsid w:val="4C653BF0"/>
    <w:rsid w:val="4CEA3B72"/>
    <w:rsid w:val="4CED164A"/>
    <w:rsid w:val="4CF36A7B"/>
    <w:rsid w:val="4CFA5DD8"/>
    <w:rsid w:val="4D13189E"/>
    <w:rsid w:val="4D1F1116"/>
    <w:rsid w:val="4D2D149B"/>
    <w:rsid w:val="4D863EEF"/>
    <w:rsid w:val="4D9D4D47"/>
    <w:rsid w:val="4DD84D94"/>
    <w:rsid w:val="4DF23BA9"/>
    <w:rsid w:val="4DF47921"/>
    <w:rsid w:val="4E2411F9"/>
    <w:rsid w:val="4E816CDB"/>
    <w:rsid w:val="4ED21F31"/>
    <w:rsid w:val="4EE872FC"/>
    <w:rsid w:val="4F22401A"/>
    <w:rsid w:val="4F9B31EA"/>
    <w:rsid w:val="4FD87A55"/>
    <w:rsid w:val="500532FD"/>
    <w:rsid w:val="501569A8"/>
    <w:rsid w:val="50360419"/>
    <w:rsid w:val="507C42B8"/>
    <w:rsid w:val="50D300B3"/>
    <w:rsid w:val="51272148"/>
    <w:rsid w:val="51516EE5"/>
    <w:rsid w:val="518A2EA4"/>
    <w:rsid w:val="51995220"/>
    <w:rsid w:val="51BA49DE"/>
    <w:rsid w:val="524A7EB9"/>
    <w:rsid w:val="52EC1F74"/>
    <w:rsid w:val="5330122B"/>
    <w:rsid w:val="53355780"/>
    <w:rsid w:val="535B7AFB"/>
    <w:rsid w:val="53AE26C3"/>
    <w:rsid w:val="53B55382"/>
    <w:rsid w:val="53CE651E"/>
    <w:rsid w:val="53E00E0F"/>
    <w:rsid w:val="53E159C4"/>
    <w:rsid w:val="53F72228"/>
    <w:rsid w:val="53F81669"/>
    <w:rsid w:val="53FF2393"/>
    <w:rsid w:val="54073CF5"/>
    <w:rsid w:val="540F0DE7"/>
    <w:rsid w:val="54401085"/>
    <w:rsid w:val="546A561F"/>
    <w:rsid w:val="54770964"/>
    <w:rsid w:val="547774D2"/>
    <w:rsid w:val="549E5E3B"/>
    <w:rsid w:val="54B54FB5"/>
    <w:rsid w:val="54C522D7"/>
    <w:rsid w:val="54E032B5"/>
    <w:rsid w:val="54FC39E4"/>
    <w:rsid w:val="55726311"/>
    <w:rsid w:val="557E4243"/>
    <w:rsid w:val="55802797"/>
    <w:rsid w:val="559678D8"/>
    <w:rsid w:val="55CA5047"/>
    <w:rsid w:val="55D110CD"/>
    <w:rsid w:val="55D7115D"/>
    <w:rsid w:val="55E30F27"/>
    <w:rsid w:val="55F7553E"/>
    <w:rsid w:val="5639752B"/>
    <w:rsid w:val="56896B68"/>
    <w:rsid w:val="568F53E8"/>
    <w:rsid w:val="56B40A13"/>
    <w:rsid w:val="56BA348C"/>
    <w:rsid w:val="56C9336F"/>
    <w:rsid w:val="56CE1210"/>
    <w:rsid w:val="56EF2C8F"/>
    <w:rsid w:val="572A46D5"/>
    <w:rsid w:val="57A35F14"/>
    <w:rsid w:val="58353A47"/>
    <w:rsid w:val="5897017E"/>
    <w:rsid w:val="58A9755A"/>
    <w:rsid w:val="58AA42EB"/>
    <w:rsid w:val="58C52E9E"/>
    <w:rsid w:val="58E7034E"/>
    <w:rsid w:val="58E752F5"/>
    <w:rsid w:val="590B1A07"/>
    <w:rsid w:val="59473014"/>
    <w:rsid w:val="59524AA9"/>
    <w:rsid w:val="595C637A"/>
    <w:rsid w:val="596F412A"/>
    <w:rsid w:val="597A6828"/>
    <w:rsid w:val="5995017E"/>
    <w:rsid w:val="599642D0"/>
    <w:rsid w:val="599D0391"/>
    <w:rsid w:val="59BB081E"/>
    <w:rsid w:val="59F63EB8"/>
    <w:rsid w:val="5AA30F9C"/>
    <w:rsid w:val="5AD2499D"/>
    <w:rsid w:val="5AE021FD"/>
    <w:rsid w:val="5AE7124B"/>
    <w:rsid w:val="5B136F0D"/>
    <w:rsid w:val="5B1D72AF"/>
    <w:rsid w:val="5B29244F"/>
    <w:rsid w:val="5B61290C"/>
    <w:rsid w:val="5B89756F"/>
    <w:rsid w:val="5B940904"/>
    <w:rsid w:val="5BA4350C"/>
    <w:rsid w:val="5BAA15FC"/>
    <w:rsid w:val="5BE6357D"/>
    <w:rsid w:val="5BF30196"/>
    <w:rsid w:val="5BF532BA"/>
    <w:rsid w:val="5C180C7F"/>
    <w:rsid w:val="5C4D0DD0"/>
    <w:rsid w:val="5C6B33D4"/>
    <w:rsid w:val="5C6C2929"/>
    <w:rsid w:val="5CA70254"/>
    <w:rsid w:val="5CF8460C"/>
    <w:rsid w:val="5D016411"/>
    <w:rsid w:val="5D083982"/>
    <w:rsid w:val="5D107BA8"/>
    <w:rsid w:val="5D292A17"/>
    <w:rsid w:val="5D3B752D"/>
    <w:rsid w:val="5D422BF8"/>
    <w:rsid w:val="5D4767A5"/>
    <w:rsid w:val="5D765A08"/>
    <w:rsid w:val="5D7F2D5A"/>
    <w:rsid w:val="5DA1741D"/>
    <w:rsid w:val="5E136C47"/>
    <w:rsid w:val="5E221E34"/>
    <w:rsid w:val="5E2659E9"/>
    <w:rsid w:val="5E341D32"/>
    <w:rsid w:val="5E347A97"/>
    <w:rsid w:val="5E453280"/>
    <w:rsid w:val="5EDE40C7"/>
    <w:rsid w:val="5EE5676D"/>
    <w:rsid w:val="5F200A95"/>
    <w:rsid w:val="5F4E2CF9"/>
    <w:rsid w:val="5F711E2A"/>
    <w:rsid w:val="5F741C23"/>
    <w:rsid w:val="5F8D4EF2"/>
    <w:rsid w:val="5FA665F3"/>
    <w:rsid w:val="5FBA4A30"/>
    <w:rsid w:val="5FD917EE"/>
    <w:rsid w:val="5FF2794C"/>
    <w:rsid w:val="600C142F"/>
    <w:rsid w:val="60101797"/>
    <w:rsid w:val="602F4CDA"/>
    <w:rsid w:val="60711DDC"/>
    <w:rsid w:val="60780B9D"/>
    <w:rsid w:val="607A3440"/>
    <w:rsid w:val="608A5EC3"/>
    <w:rsid w:val="609670F2"/>
    <w:rsid w:val="60B00A41"/>
    <w:rsid w:val="60E80643"/>
    <w:rsid w:val="60F83A87"/>
    <w:rsid w:val="611E69FD"/>
    <w:rsid w:val="614E6EF1"/>
    <w:rsid w:val="617A670E"/>
    <w:rsid w:val="61B37CD9"/>
    <w:rsid w:val="61D07906"/>
    <w:rsid w:val="61D23E28"/>
    <w:rsid w:val="61E0223F"/>
    <w:rsid w:val="61F07FA8"/>
    <w:rsid w:val="61F31752"/>
    <w:rsid w:val="62570D60"/>
    <w:rsid w:val="629342B6"/>
    <w:rsid w:val="62AE1C9B"/>
    <w:rsid w:val="62B12A23"/>
    <w:rsid w:val="62CA07F9"/>
    <w:rsid w:val="62F029CF"/>
    <w:rsid w:val="63016CD4"/>
    <w:rsid w:val="63467033"/>
    <w:rsid w:val="63B03E93"/>
    <w:rsid w:val="63C37C63"/>
    <w:rsid w:val="6408372F"/>
    <w:rsid w:val="64212161"/>
    <w:rsid w:val="643779AA"/>
    <w:rsid w:val="644156DF"/>
    <w:rsid w:val="648570CD"/>
    <w:rsid w:val="6500161D"/>
    <w:rsid w:val="65A36D1C"/>
    <w:rsid w:val="65A60391"/>
    <w:rsid w:val="65C50EF1"/>
    <w:rsid w:val="65DA51F7"/>
    <w:rsid w:val="65E60F94"/>
    <w:rsid w:val="66422571"/>
    <w:rsid w:val="668A37BE"/>
    <w:rsid w:val="669929BC"/>
    <w:rsid w:val="66F71169"/>
    <w:rsid w:val="67042BD4"/>
    <w:rsid w:val="6710264E"/>
    <w:rsid w:val="67151E92"/>
    <w:rsid w:val="673048FF"/>
    <w:rsid w:val="673E6EE2"/>
    <w:rsid w:val="675A18E7"/>
    <w:rsid w:val="67CB6F50"/>
    <w:rsid w:val="67D5323F"/>
    <w:rsid w:val="67D56211"/>
    <w:rsid w:val="67D82113"/>
    <w:rsid w:val="67E10BEB"/>
    <w:rsid w:val="67F26965"/>
    <w:rsid w:val="67FC37A4"/>
    <w:rsid w:val="68083A03"/>
    <w:rsid w:val="68362CC3"/>
    <w:rsid w:val="683C7AA3"/>
    <w:rsid w:val="68582403"/>
    <w:rsid w:val="689948DA"/>
    <w:rsid w:val="68EE5B8A"/>
    <w:rsid w:val="6911451D"/>
    <w:rsid w:val="691F1D5F"/>
    <w:rsid w:val="692C5D69"/>
    <w:rsid w:val="6949691B"/>
    <w:rsid w:val="69512A12"/>
    <w:rsid w:val="695A5670"/>
    <w:rsid w:val="696A4AE4"/>
    <w:rsid w:val="697F15FE"/>
    <w:rsid w:val="69807E63"/>
    <w:rsid w:val="698708D7"/>
    <w:rsid w:val="69B74B46"/>
    <w:rsid w:val="69C161DD"/>
    <w:rsid w:val="69F077FA"/>
    <w:rsid w:val="6A016082"/>
    <w:rsid w:val="6A06185F"/>
    <w:rsid w:val="6A0D374D"/>
    <w:rsid w:val="6A6257BB"/>
    <w:rsid w:val="6A7B5D21"/>
    <w:rsid w:val="6A9A5B6B"/>
    <w:rsid w:val="6AA656A7"/>
    <w:rsid w:val="6AB8422B"/>
    <w:rsid w:val="6AF1033A"/>
    <w:rsid w:val="6AFC6FCF"/>
    <w:rsid w:val="6B062FEF"/>
    <w:rsid w:val="6B3E663C"/>
    <w:rsid w:val="6BBA3093"/>
    <w:rsid w:val="6BD050D2"/>
    <w:rsid w:val="6BDB6699"/>
    <w:rsid w:val="6C152AE5"/>
    <w:rsid w:val="6C61248A"/>
    <w:rsid w:val="6C8D4D71"/>
    <w:rsid w:val="6C9C23B7"/>
    <w:rsid w:val="6CB6534E"/>
    <w:rsid w:val="6CCF5389"/>
    <w:rsid w:val="6CEC6E1B"/>
    <w:rsid w:val="6CFC1EF7"/>
    <w:rsid w:val="6D1C0216"/>
    <w:rsid w:val="6D642293"/>
    <w:rsid w:val="6DAB36CB"/>
    <w:rsid w:val="6DB25CD0"/>
    <w:rsid w:val="6DB91CE7"/>
    <w:rsid w:val="6DCC4107"/>
    <w:rsid w:val="6DDE1163"/>
    <w:rsid w:val="6E7E47E9"/>
    <w:rsid w:val="6EA2262A"/>
    <w:rsid w:val="6EE2214F"/>
    <w:rsid w:val="6EF240B3"/>
    <w:rsid w:val="6F1104C5"/>
    <w:rsid w:val="6F197B82"/>
    <w:rsid w:val="6F345978"/>
    <w:rsid w:val="6F525DFE"/>
    <w:rsid w:val="6F5769B7"/>
    <w:rsid w:val="6F6D42C6"/>
    <w:rsid w:val="6FE532F1"/>
    <w:rsid w:val="6FF931B2"/>
    <w:rsid w:val="6FFA452E"/>
    <w:rsid w:val="700B7BF8"/>
    <w:rsid w:val="70654FF1"/>
    <w:rsid w:val="708E2FC5"/>
    <w:rsid w:val="70952446"/>
    <w:rsid w:val="70CB268A"/>
    <w:rsid w:val="71081025"/>
    <w:rsid w:val="71107458"/>
    <w:rsid w:val="712E6153"/>
    <w:rsid w:val="71327FAE"/>
    <w:rsid w:val="71337421"/>
    <w:rsid w:val="713920DB"/>
    <w:rsid w:val="71593474"/>
    <w:rsid w:val="7185223D"/>
    <w:rsid w:val="718A3713"/>
    <w:rsid w:val="71962B7E"/>
    <w:rsid w:val="71B21877"/>
    <w:rsid w:val="71C40D5A"/>
    <w:rsid w:val="71E461B2"/>
    <w:rsid w:val="71EE6497"/>
    <w:rsid w:val="72077721"/>
    <w:rsid w:val="722103D4"/>
    <w:rsid w:val="722446A6"/>
    <w:rsid w:val="725705D6"/>
    <w:rsid w:val="72B55021"/>
    <w:rsid w:val="72D834C1"/>
    <w:rsid w:val="73084E4C"/>
    <w:rsid w:val="730B1F71"/>
    <w:rsid w:val="735A5453"/>
    <w:rsid w:val="73685BF0"/>
    <w:rsid w:val="73A9621C"/>
    <w:rsid w:val="73B26B7E"/>
    <w:rsid w:val="73DE427F"/>
    <w:rsid w:val="74600FBD"/>
    <w:rsid w:val="7461016E"/>
    <w:rsid w:val="747B124E"/>
    <w:rsid w:val="74AD6431"/>
    <w:rsid w:val="74B03B5D"/>
    <w:rsid w:val="74B45232"/>
    <w:rsid w:val="74B775BA"/>
    <w:rsid w:val="74D7362A"/>
    <w:rsid w:val="74EF59D4"/>
    <w:rsid w:val="74FF2584"/>
    <w:rsid w:val="753C2534"/>
    <w:rsid w:val="75560BAF"/>
    <w:rsid w:val="756248C1"/>
    <w:rsid w:val="756802F8"/>
    <w:rsid w:val="759B73B5"/>
    <w:rsid w:val="75C168B6"/>
    <w:rsid w:val="75C31803"/>
    <w:rsid w:val="75D4533A"/>
    <w:rsid w:val="75EC236C"/>
    <w:rsid w:val="763E0E8A"/>
    <w:rsid w:val="76D604A6"/>
    <w:rsid w:val="77037C1B"/>
    <w:rsid w:val="777B3524"/>
    <w:rsid w:val="777F1896"/>
    <w:rsid w:val="779B361A"/>
    <w:rsid w:val="77D07C1C"/>
    <w:rsid w:val="77EA5F38"/>
    <w:rsid w:val="77F43B8C"/>
    <w:rsid w:val="78104469"/>
    <w:rsid w:val="78514D53"/>
    <w:rsid w:val="78660DE1"/>
    <w:rsid w:val="788B153C"/>
    <w:rsid w:val="789C3BCA"/>
    <w:rsid w:val="78CD4841"/>
    <w:rsid w:val="78D67AA0"/>
    <w:rsid w:val="7916402C"/>
    <w:rsid w:val="797A7744"/>
    <w:rsid w:val="7984574E"/>
    <w:rsid w:val="79B378E9"/>
    <w:rsid w:val="7A345EF7"/>
    <w:rsid w:val="7A616698"/>
    <w:rsid w:val="7A877B5A"/>
    <w:rsid w:val="7A96064B"/>
    <w:rsid w:val="7AD4421D"/>
    <w:rsid w:val="7AE448F9"/>
    <w:rsid w:val="7AEA338E"/>
    <w:rsid w:val="7AF026E3"/>
    <w:rsid w:val="7B00726C"/>
    <w:rsid w:val="7B0A28DC"/>
    <w:rsid w:val="7B0D0863"/>
    <w:rsid w:val="7B130B37"/>
    <w:rsid w:val="7B1C5F3E"/>
    <w:rsid w:val="7B2315C3"/>
    <w:rsid w:val="7B742A76"/>
    <w:rsid w:val="7BA25DD3"/>
    <w:rsid w:val="7C0C3FA7"/>
    <w:rsid w:val="7C3A173F"/>
    <w:rsid w:val="7C3A66AB"/>
    <w:rsid w:val="7C47503C"/>
    <w:rsid w:val="7C5E7AD6"/>
    <w:rsid w:val="7C81451B"/>
    <w:rsid w:val="7C830818"/>
    <w:rsid w:val="7C833A9B"/>
    <w:rsid w:val="7CDA0416"/>
    <w:rsid w:val="7CDE186B"/>
    <w:rsid w:val="7CEF1130"/>
    <w:rsid w:val="7CF600D5"/>
    <w:rsid w:val="7D3D605E"/>
    <w:rsid w:val="7D5F709D"/>
    <w:rsid w:val="7D6F33FE"/>
    <w:rsid w:val="7D835243"/>
    <w:rsid w:val="7D8F5E13"/>
    <w:rsid w:val="7DA97531"/>
    <w:rsid w:val="7DCB53EE"/>
    <w:rsid w:val="7DD21F6A"/>
    <w:rsid w:val="7DD73A60"/>
    <w:rsid w:val="7E05083C"/>
    <w:rsid w:val="7E134734"/>
    <w:rsid w:val="7E3314F0"/>
    <w:rsid w:val="7E6B1E5B"/>
    <w:rsid w:val="7E7505AB"/>
    <w:rsid w:val="7EAB3F89"/>
    <w:rsid w:val="7EB54F9B"/>
    <w:rsid w:val="7EB655AF"/>
    <w:rsid w:val="7EC97F4F"/>
    <w:rsid w:val="7F005B6B"/>
    <w:rsid w:val="7F3379FA"/>
    <w:rsid w:val="7F474D3D"/>
    <w:rsid w:val="7F4818EA"/>
    <w:rsid w:val="7F6F4E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0" w:semiHidden="0" w:name="heading 3"/>
    <w:lsdException w:qFormat="1" w:uiPriority="0"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0" w:semiHidden="0" w:name="caption"/>
    <w:lsdException w:uiPriority="99" w:name="table of figures"/>
    <w:lsdException w:uiPriority="99" w:name="envelope address"/>
    <w:lsdException w:uiPriority="99" w:name="envelope return"/>
    <w:lsdException w:uiPriority="99" w:name="footnote reference"/>
    <w:lsdException w:qFormat="1" w:uiPriority="0" w:semiHidden="0" w:name="annotation reference"/>
    <w:lsdException w:uiPriority="99" w:name="line number"/>
    <w:lsdException w:qFormat="1" w:unhideWhenUsed="0" w:uiPriority="0" w:semiHidden="0" w:name="page number"/>
    <w:lsdException w:qFormat="1" w:uiPriority="0" w:semiHidden="0" w:name="endnote reference"/>
    <w:lsdException w:qFormat="1" w:uiPriority="0"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1"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qFormat="1" w:uiPriority="99" w:name="Block Text"/>
    <w:lsdException w:qFormat="1" w:uiPriority="99" w:semiHidden="0" w:name="Hyperlink"/>
    <w:lsdException w:qFormat="1"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semiHidden="0" w:name="HTML Preformatted"/>
    <w:lsdException w:uiPriority="99" w:name="HTML Sample"/>
    <w:lsdException w:uiPriority="99" w:name="HTML Typewriter"/>
    <w:lsdException w:uiPriority="99" w:name="HTML Variable"/>
    <w:lsdException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qFormat="1" w:unhideWhenUsed="0" w:uiPriority="0" w:semiHidden="0"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adjustRightInd w:val="0"/>
      <w:snapToGrid w:val="0"/>
      <w:spacing w:line="360" w:lineRule="auto"/>
      <w:ind w:firstLine="200" w:firstLineChars="200"/>
      <w:jc w:val="both"/>
    </w:pPr>
    <w:rPr>
      <w:rFonts w:ascii="Arial" w:hAnsi="Arial" w:eastAsia="仿宋" w:cs="宋体"/>
      <w:kern w:val="2"/>
      <w:sz w:val="32"/>
      <w:szCs w:val="24"/>
      <w:lang w:val="en-US" w:eastAsia="zh-CN" w:bidi="ar-SA"/>
    </w:rPr>
  </w:style>
  <w:style w:type="paragraph" w:styleId="3">
    <w:name w:val="heading 1"/>
    <w:basedOn w:val="1"/>
    <w:next w:val="1"/>
    <w:link w:val="47"/>
    <w:qFormat/>
    <w:uiPriority w:val="9"/>
    <w:pPr>
      <w:keepNext/>
      <w:keepLines/>
      <w:numPr>
        <w:ilvl w:val="0"/>
        <w:numId w:val="1"/>
      </w:numPr>
      <w:ind w:left="0" w:firstLine="0" w:firstLineChars="0"/>
      <w:jc w:val="left"/>
      <w:outlineLvl w:val="0"/>
    </w:pPr>
    <w:rPr>
      <w:b/>
      <w:bCs/>
      <w:kern w:val="44"/>
      <w:sz w:val="30"/>
      <w:szCs w:val="30"/>
    </w:rPr>
  </w:style>
  <w:style w:type="paragraph" w:styleId="4">
    <w:name w:val="heading 2"/>
    <w:basedOn w:val="1"/>
    <w:next w:val="1"/>
    <w:link w:val="48"/>
    <w:unhideWhenUsed/>
    <w:qFormat/>
    <w:uiPriority w:val="0"/>
    <w:pPr>
      <w:keepNext/>
      <w:keepLines/>
      <w:numPr>
        <w:ilvl w:val="1"/>
        <w:numId w:val="1"/>
      </w:numPr>
      <w:ind w:left="641" w:firstLine="0" w:firstLineChars="0"/>
      <w:jc w:val="left"/>
      <w:outlineLvl w:val="1"/>
    </w:pPr>
    <w:rPr>
      <w:b/>
      <w:bCs/>
      <w:szCs w:val="28"/>
    </w:rPr>
  </w:style>
  <w:style w:type="paragraph" w:styleId="5">
    <w:name w:val="heading 3"/>
    <w:basedOn w:val="1"/>
    <w:next w:val="1"/>
    <w:link w:val="49"/>
    <w:unhideWhenUsed/>
    <w:qFormat/>
    <w:uiPriority w:val="0"/>
    <w:pPr>
      <w:keepNext/>
      <w:keepLines/>
      <w:numPr>
        <w:ilvl w:val="2"/>
        <w:numId w:val="1"/>
      </w:numPr>
      <w:ind w:firstLine="0" w:firstLineChars="0"/>
      <w:jc w:val="left"/>
      <w:outlineLvl w:val="2"/>
    </w:pPr>
    <w:rPr>
      <w:b/>
      <w:bCs/>
    </w:rPr>
  </w:style>
  <w:style w:type="paragraph" w:styleId="6">
    <w:name w:val="heading 4"/>
    <w:basedOn w:val="1"/>
    <w:next w:val="1"/>
    <w:link w:val="50"/>
    <w:unhideWhenUsed/>
    <w:qFormat/>
    <w:uiPriority w:val="0"/>
    <w:pPr>
      <w:keepNext/>
      <w:keepLines/>
      <w:numPr>
        <w:ilvl w:val="3"/>
        <w:numId w:val="1"/>
      </w:numPr>
      <w:ind w:firstLine="0" w:firstLineChars="0"/>
      <w:jc w:val="left"/>
      <w:outlineLvl w:val="3"/>
    </w:pPr>
    <w:rPr>
      <w:b/>
      <w:bCs/>
    </w:rPr>
  </w:style>
  <w:style w:type="paragraph" w:styleId="7">
    <w:name w:val="heading 5"/>
    <w:basedOn w:val="1"/>
    <w:next w:val="1"/>
    <w:link w:val="51"/>
    <w:unhideWhenUsed/>
    <w:qFormat/>
    <w:uiPriority w:val="9"/>
    <w:pPr>
      <w:keepNext/>
      <w:keepLines/>
      <w:numPr>
        <w:ilvl w:val="4"/>
        <w:numId w:val="1"/>
      </w:numPr>
      <w:ind w:firstLine="0" w:firstLineChars="0"/>
      <w:jc w:val="left"/>
      <w:outlineLvl w:val="4"/>
    </w:pPr>
    <w:rPr>
      <w:b/>
      <w:bCs/>
    </w:rPr>
  </w:style>
  <w:style w:type="paragraph" w:styleId="8">
    <w:name w:val="heading 6"/>
    <w:basedOn w:val="1"/>
    <w:next w:val="1"/>
    <w:link w:val="52"/>
    <w:unhideWhenUsed/>
    <w:qFormat/>
    <w:uiPriority w:val="9"/>
    <w:pPr>
      <w:keepNext/>
      <w:keepLines/>
      <w:numPr>
        <w:ilvl w:val="5"/>
        <w:numId w:val="1"/>
      </w:numPr>
      <w:ind w:left="0" w:firstLine="0" w:firstLineChars="0"/>
      <w:jc w:val="left"/>
      <w:outlineLvl w:val="5"/>
    </w:pPr>
    <w:rPr>
      <w:b/>
      <w:bCs/>
    </w:rPr>
  </w:style>
  <w:style w:type="paragraph" w:styleId="9">
    <w:name w:val="heading 7"/>
    <w:basedOn w:val="1"/>
    <w:next w:val="1"/>
    <w:link w:val="53"/>
    <w:unhideWhenUsed/>
    <w:qFormat/>
    <w:uiPriority w:val="9"/>
    <w:pPr>
      <w:keepNext/>
      <w:keepLines/>
      <w:numPr>
        <w:ilvl w:val="6"/>
        <w:numId w:val="1"/>
      </w:numPr>
      <w:ind w:left="0" w:firstLine="0" w:firstLineChars="0"/>
      <w:jc w:val="left"/>
      <w:outlineLvl w:val="6"/>
    </w:pPr>
    <w:rPr>
      <w:b/>
      <w:bCs/>
    </w:rPr>
  </w:style>
  <w:style w:type="paragraph" w:styleId="10">
    <w:name w:val="heading 8"/>
    <w:basedOn w:val="1"/>
    <w:next w:val="1"/>
    <w:link w:val="54"/>
    <w:unhideWhenUsed/>
    <w:qFormat/>
    <w:uiPriority w:val="9"/>
    <w:pPr>
      <w:keepNext/>
      <w:keepLines/>
      <w:numPr>
        <w:ilvl w:val="7"/>
        <w:numId w:val="1"/>
      </w:numPr>
      <w:ind w:left="0" w:firstLine="0" w:firstLineChars="0"/>
      <w:jc w:val="left"/>
      <w:outlineLvl w:val="7"/>
    </w:pPr>
    <w:rPr>
      <w:b/>
    </w:rPr>
  </w:style>
  <w:style w:type="paragraph" w:styleId="11">
    <w:name w:val="heading 9"/>
    <w:basedOn w:val="1"/>
    <w:next w:val="1"/>
    <w:link w:val="55"/>
    <w:unhideWhenUsed/>
    <w:qFormat/>
    <w:uiPriority w:val="9"/>
    <w:pPr>
      <w:keepNext/>
      <w:keepLines/>
      <w:numPr>
        <w:ilvl w:val="8"/>
        <w:numId w:val="1"/>
      </w:numPr>
      <w:ind w:left="0" w:firstLine="0" w:firstLineChars="0"/>
      <w:jc w:val="left"/>
      <w:outlineLvl w:val="8"/>
    </w:pPr>
    <w:rPr>
      <w:b/>
      <w:bCs/>
    </w:rPr>
  </w:style>
  <w:style w:type="character" w:default="1" w:styleId="34">
    <w:name w:val="Default Paragraph Font"/>
    <w:semiHidden/>
    <w:unhideWhenUsed/>
    <w:uiPriority w:val="1"/>
  </w:style>
  <w:style w:type="table" w:default="1" w:styleId="31">
    <w:name w:val="Normal Table"/>
    <w:semiHidden/>
    <w:unhideWhenUsed/>
    <w:uiPriority w:val="99"/>
    <w:tblPr>
      <w:tblCellMar>
        <w:top w:w="0" w:type="dxa"/>
        <w:left w:w="108" w:type="dxa"/>
        <w:bottom w:w="0" w:type="dxa"/>
        <w:right w:w="108" w:type="dxa"/>
      </w:tblCellMar>
    </w:tblPr>
  </w:style>
  <w:style w:type="paragraph" w:styleId="2">
    <w:name w:val="Block Text"/>
    <w:basedOn w:val="1"/>
    <w:semiHidden/>
    <w:unhideWhenUsed/>
    <w:qFormat/>
    <w:uiPriority w:val="99"/>
    <w:pPr>
      <w:spacing w:after="120"/>
      <w:ind w:left="1440" w:leftChars="700" w:right="700" w:rightChars="700"/>
    </w:pPr>
  </w:style>
  <w:style w:type="paragraph" w:styleId="12">
    <w:name w:val="caption"/>
    <w:basedOn w:val="1"/>
    <w:next w:val="1"/>
    <w:link w:val="168"/>
    <w:unhideWhenUsed/>
    <w:qFormat/>
    <w:uiPriority w:val="0"/>
    <w:pPr>
      <w:ind w:firstLine="0" w:firstLineChars="0"/>
      <w:jc w:val="center"/>
    </w:pPr>
    <w:rPr>
      <w:sz w:val="21"/>
      <w:szCs w:val="21"/>
    </w:rPr>
  </w:style>
  <w:style w:type="paragraph" w:styleId="13">
    <w:name w:val="Document Map"/>
    <w:basedOn w:val="1"/>
    <w:link w:val="87"/>
    <w:qFormat/>
    <w:uiPriority w:val="0"/>
    <w:pPr>
      <w:widowControl/>
      <w:adjustRightInd/>
      <w:snapToGrid/>
      <w:spacing w:line="240" w:lineRule="auto"/>
      <w:ind w:firstLine="0" w:firstLineChars="0"/>
      <w:jc w:val="left"/>
    </w:pPr>
    <w:rPr>
      <w:rFonts w:ascii="宋体" w:hAnsiTheme="minorHAnsi" w:eastAsiaTheme="minorEastAsia" w:cstheme="minorBidi"/>
      <w:sz w:val="18"/>
      <w:szCs w:val="18"/>
    </w:rPr>
  </w:style>
  <w:style w:type="paragraph" w:styleId="14">
    <w:name w:val="annotation text"/>
    <w:basedOn w:val="1"/>
    <w:link w:val="62"/>
    <w:unhideWhenUsed/>
    <w:qFormat/>
    <w:uiPriority w:val="99"/>
    <w:pPr>
      <w:jc w:val="left"/>
    </w:pPr>
  </w:style>
  <w:style w:type="paragraph" w:styleId="15">
    <w:name w:val="Body Text"/>
    <w:basedOn w:val="1"/>
    <w:link w:val="66"/>
    <w:qFormat/>
    <w:uiPriority w:val="1"/>
    <w:pPr>
      <w:autoSpaceDE w:val="0"/>
      <w:autoSpaceDN w:val="0"/>
      <w:adjustRightInd/>
      <w:snapToGrid/>
      <w:ind w:firstLine="0" w:firstLineChars="0"/>
      <w:jc w:val="left"/>
    </w:pPr>
    <w:rPr>
      <w:rFonts w:ascii="宋体" w:hAnsi="宋体"/>
      <w:kern w:val="0"/>
      <w:szCs w:val="32"/>
      <w:lang w:eastAsia="en-US"/>
    </w:rPr>
  </w:style>
  <w:style w:type="paragraph" w:styleId="16">
    <w:name w:val="Body Text Indent"/>
    <w:basedOn w:val="1"/>
    <w:link w:val="74"/>
    <w:qFormat/>
    <w:uiPriority w:val="0"/>
    <w:pPr>
      <w:adjustRightInd/>
      <w:snapToGrid/>
      <w:ind w:firstLine="560" w:firstLineChars="0"/>
    </w:pPr>
    <w:rPr>
      <w:rFonts w:ascii="仿宋_GB2312" w:hAnsi="宋体" w:eastAsia="仿宋_GB2312" w:cstheme="minorBidi"/>
      <w:sz w:val="28"/>
    </w:rPr>
  </w:style>
  <w:style w:type="paragraph" w:styleId="17">
    <w:name w:val="toc 3"/>
    <w:basedOn w:val="1"/>
    <w:next w:val="1"/>
    <w:unhideWhenUsed/>
    <w:qFormat/>
    <w:uiPriority w:val="39"/>
    <w:pPr>
      <w:tabs>
        <w:tab w:val="left" w:pos="1680"/>
        <w:tab w:val="right" w:leader="dot" w:pos="9628"/>
      </w:tabs>
      <w:ind w:left="350" w:leftChars="350"/>
    </w:pPr>
  </w:style>
  <w:style w:type="paragraph" w:styleId="18">
    <w:name w:val="Plain Text"/>
    <w:basedOn w:val="1"/>
    <w:link w:val="75"/>
    <w:qFormat/>
    <w:uiPriority w:val="0"/>
    <w:pPr>
      <w:adjustRightInd/>
      <w:snapToGrid/>
      <w:spacing w:line="240" w:lineRule="auto"/>
      <w:ind w:firstLine="0" w:firstLineChars="0"/>
    </w:pPr>
    <w:rPr>
      <w:rFonts w:ascii="宋体" w:hAnsi="Courier New" w:eastAsiaTheme="minorEastAsia" w:cstheme="minorBidi"/>
      <w:sz w:val="21"/>
      <w:szCs w:val="21"/>
    </w:rPr>
  </w:style>
  <w:style w:type="paragraph" w:styleId="19">
    <w:name w:val="Date"/>
    <w:basedOn w:val="1"/>
    <w:next w:val="1"/>
    <w:link w:val="99"/>
    <w:qFormat/>
    <w:uiPriority w:val="0"/>
    <w:pPr>
      <w:adjustRightInd/>
      <w:snapToGrid/>
      <w:spacing w:line="240" w:lineRule="auto"/>
      <w:ind w:firstLine="0" w:firstLineChars="0"/>
    </w:pPr>
    <w:rPr>
      <w:rFonts w:asciiTheme="minorHAnsi" w:hAnsiTheme="minorHAnsi" w:eastAsiaTheme="minorEastAsia" w:cstheme="minorBidi"/>
      <w:sz w:val="21"/>
    </w:rPr>
  </w:style>
  <w:style w:type="paragraph" w:styleId="20">
    <w:name w:val="endnote text"/>
    <w:basedOn w:val="1"/>
    <w:link w:val="88"/>
    <w:unhideWhenUsed/>
    <w:qFormat/>
    <w:uiPriority w:val="0"/>
    <w:pPr>
      <w:adjustRightInd/>
      <w:spacing w:line="240" w:lineRule="auto"/>
      <w:jc w:val="left"/>
    </w:pPr>
    <w:rPr>
      <w:rFonts w:ascii="Calibri" w:hAnsi="Calibri" w:eastAsiaTheme="minorEastAsia" w:cstheme="minorBidi"/>
      <w:sz w:val="21"/>
      <w:szCs w:val="22"/>
    </w:rPr>
  </w:style>
  <w:style w:type="paragraph" w:styleId="21">
    <w:name w:val="Balloon Text"/>
    <w:basedOn w:val="1"/>
    <w:link w:val="64"/>
    <w:unhideWhenUsed/>
    <w:qFormat/>
    <w:uiPriority w:val="99"/>
    <w:pPr>
      <w:spacing w:line="240" w:lineRule="auto"/>
    </w:pPr>
    <w:rPr>
      <w:sz w:val="18"/>
      <w:szCs w:val="18"/>
    </w:rPr>
  </w:style>
  <w:style w:type="paragraph" w:styleId="22">
    <w:name w:val="footer"/>
    <w:basedOn w:val="1"/>
    <w:link w:val="46"/>
    <w:unhideWhenUsed/>
    <w:qFormat/>
    <w:uiPriority w:val="99"/>
    <w:pPr>
      <w:tabs>
        <w:tab w:val="center" w:pos="4153"/>
        <w:tab w:val="right" w:pos="8306"/>
      </w:tabs>
      <w:jc w:val="left"/>
    </w:pPr>
    <w:rPr>
      <w:sz w:val="18"/>
      <w:szCs w:val="18"/>
    </w:rPr>
  </w:style>
  <w:style w:type="paragraph" w:styleId="23">
    <w:name w:val="header"/>
    <w:basedOn w:val="1"/>
    <w:link w:val="45"/>
    <w:unhideWhenUsed/>
    <w:qFormat/>
    <w:uiPriority w:val="99"/>
    <w:pPr>
      <w:pBdr>
        <w:bottom w:val="single" w:color="auto" w:sz="6" w:space="1"/>
      </w:pBdr>
      <w:tabs>
        <w:tab w:val="center" w:pos="4153"/>
        <w:tab w:val="right" w:pos="8306"/>
      </w:tabs>
      <w:jc w:val="center"/>
    </w:pPr>
    <w:rPr>
      <w:sz w:val="18"/>
      <w:szCs w:val="18"/>
    </w:rPr>
  </w:style>
  <w:style w:type="paragraph" w:styleId="24">
    <w:name w:val="toc 1"/>
    <w:basedOn w:val="1"/>
    <w:next w:val="1"/>
    <w:unhideWhenUsed/>
    <w:qFormat/>
    <w:uiPriority w:val="39"/>
    <w:pPr>
      <w:tabs>
        <w:tab w:val="left" w:pos="400"/>
        <w:tab w:val="right" w:leader="dot" w:pos="9628"/>
      </w:tabs>
    </w:pPr>
    <w:rPr>
      <w:b/>
    </w:rPr>
  </w:style>
  <w:style w:type="paragraph" w:styleId="25">
    <w:name w:val="Subtitle"/>
    <w:basedOn w:val="1"/>
    <w:next w:val="1"/>
    <w:link w:val="89"/>
    <w:qFormat/>
    <w:uiPriority w:val="11"/>
    <w:pPr>
      <w:adjustRightInd/>
      <w:snapToGrid/>
      <w:spacing w:line="312" w:lineRule="auto"/>
      <w:ind w:firstLine="0" w:firstLineChars="0"/>
      <w:jc w:val="left"/>
      <w:outlineLvl w:val="1"/>
    </w:pPr>
    <w:rPr>
      <w:rFonts w:ascii="Cambria" w:hAnsi="Cambria" w:eastAsiaTheme="minorEastAsia" w:cstheme="minorBidi"/>
      <w:b/>
      <w:bCs/>
      <w:kern w:val="28"/>
      <w:szCs w:val="32"/>
    </w:rPr>
  </w:style>
  <w:style w:type="paragraph" w:styleId="26">
    <w:name w:val="toc 2"/>
    <w:basedOn w:val="1"/>
    <w:next w:val="1"/>
    <w:unhideWhenUsed/>
    <w:qFormat/>
    <w:uiPriority w:val="39"/>
    <w:pPr>
      <w:tabs>
        <w:tab w:val="left" w:pos="1050"/>
        <w:tab w:val="right" w:leader="dot" w:pos="9628"/>
      </w:tabs>
      <w:ind w:left="200" w:leftChars="200"/>
    </w:pPr>
  </w:style>
  <w:style w:type="paragraph" w:styleId="27">
    <w:name w:val="HTML Preformatted"/>
    <w:basedOn w:val="1"/>
    <w:link w:val="151"/>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snapToGrid/>
      <w:spacing w:line="240" w:lineRule="auto"/>
      <w:ind w:firstLine="0" w:firstLineChars="0"/>
      <w:jc w:val="left"/>
    </w:pPr>
    <w:rPr>
      <w:rFonts w:ascii="宋体" w:hAnsi="宋体" w:eastAsia="宋体" w:cs="Times New Roman"/>
      <w:kern w:val="0"/>
      <w:sz w:val="24"/>
      <w:lang w:val="zh-CN"/>
    </w:rPr>
  </w:style>
  <w:style w:type="paragraph" w:styleId="28">
    <w:name w:val="Normal (Web)"/>
    <w:basedOn w:val="1"/>
    <w:unhideWhenUsed/>
    <w:qFormat/>
    <w:uiPriority w:val="0"/>
    <w:pPr>
      <w:widowControl/>
      <w:adjustRightInd/>
      <w:snapToGrid/>
      <w:spacing w:line="240" w:lineRule="auto"/>
      <w:ind w:firstLine="0" w:firstLineChars="0"/>
      <w:jc w:val="left"/>
    </w:pPr>
    <w:rPr>
      <w:rFonts w:ascii="宋体" w:hAnsi="宋体" w:eastAsia="宋体"/>
      <w:kern w:val="0"/>
      <w:sz w:val="24"/>
    </w:rPr>
  </w:style>
  <w:style w:type="paragraph" w:styleId="29">
    <w:name w:val="Title"/>
    <w:basedOn w:val="1"/>
    <w:next w:val="1"/>
    <w:link w:val="153"/>
    <w:qFormat/>
    <w:uiPriority w:val="10"/>
    <w:pPr>
      <w:widowControl/>
      <w:adjustRightInd/>
      <w:snapToGrid/>
      <w:spacing w:before="240" w:after="60"/>
      <w:ind w:firstLine="0" w:firstLineChars="0"/>
      <w:jc w:val="center"/>
      <w:outlineLvl w:val="0"/>
    </w:pPr>
    <w:rPr>
      <w:rFonts w:ascii="Calibri Light" w:hAnsi="Calibri Light" w:eastAsia="宋体" w:cs="Times New Roman"/>
      <w:b/>
      <w:bCs/>
      <w:szCs w:val="32"/>
      <w:lang w:val="zh-CN"/>
    </w:rPr>
  </w:style>
  <w:style w:type="paragraph" w:styleId="30">
    <w:name w:val="annotation subject"/>
    <w:basedOn w:val="14"/>
    <w:next w:val="14"/>
    <w:link w:val="63"/>
    <w:unhideWhenUsed/>
    <w:qFormat/>
    <w:uiPriority w:val="99"/>
    <w:rPr>
      <w:b/>
      <w:bCs/>
    </w:rPr>
  </w:style>
  <w:style w:type="table" w:styleId="32">
    <w:name w:val="Table Grid"/>
    <w:basedOn w:val="31"/>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33">
    <w:name w:val="Table Grid 1"/>
    <w:basedOn w:val="31"/>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lastRow">
      <w:rPr>
        <w:i/>
        <w:iCs/>
      </w:rPr>
      <w:tblPr/>
      <w:tcPr>
        <w:tcBorders>
          <w:tl2br w:val="nil"/>
          <w:tr2bl w:val="nil"/>
        </w:tcBorders>
      </w:tcPr>
    </w:tblStylePr>
    <w:tblStylePr w:type="lastCol">
      <w:rPr>
        <w:i/>
        <w:iCs/>
      </w:rPr>
      <w:tblPr/>
      <w:tcPr>
        <w:tcBorders>
          <w:tl2br w:val="nil"/>
          <w:tr2bl w:val="nil"/>
        </w:tcBorders>
      </w:tcPr>
    </w:tblStylePr>
    <w:tblStylePr w:type="nwCell">
      <w:tblPr/>
      <w:tcPr>
        <w:tcBorders>
          <w:tl2br w:val="single" w:color="000000" w:sz="6" w:space="0"/>
          <w:tr2bl w:val="nil"/>
        </w:tcBorders>
      </w:tcPr>
    </w:tblStylePr>
  </w:style>
  <w:style w:type="character" w:styleId="35">
    <w:name w:val="Strong"/>
    <w:qFormat/>
    <w:uiPriority w:val="0"/>
    <w:rPr>
      <w:b/>
      <w:bCs/>
    </w:rPr>
  </w:style>
  <w:style w:type="character" w:styleId="36">
    <w:name w:val="endnote reference"/>
    <w:unhideWhenUsed/>
    <w:qFormat/>
    <w:uiPriority w:val="0"/>
    <w:rPr>
      <w:vertAlign w:val="superscript"/>
    </w:rPr>
  </w:style>
  <w:style w:type="character" w:styleId="37">
    <w:name w:val="page number"/>
    <w:basedOn w:val="34"/>
    <w:qFormat/>
    <w:uiPriority w:val="0"/>
  </w:style>
  <w:style w:type="character" w:styleId="38">
    <w:name w:val="FollowedHyperlink"/>
    <w:unhideWhenUsed/>
    <w:qFormat/>
    <w:uiPriority w:val="0"/>
    <w:rPr>
      <w:color w:val="800080"/>
      <w:u w:val="single"/>
    </w:rPr>
  </w:style>
  <w:style w:type="character" w:styleId="39">
    <w:name w:val="Emphasis"/>
    <w:qFormat/>
    <w:uiPriority w:val="0"/>
    <w:rPr>
      <w:i/>
      <w:iCs/>
    </w:rPr>
  </w:style>
  <w:style w:type="character" w:styleId="40">
    <w:name w:val="Hyperlink"/>
    <w:basedOn w:val="34"/>
    <w:unhideWhenUsed/>
    <w:qFormat/>
    <w:uiPriority w:val="99"/>
    <w:rPr>
      <w:color w:val="0563C1" w:themeColor="hyperlink"/>
      <w:u w:val="single"/>
      <w14:textFill>
        <w14:solidFill>
          <w14:schemeClr w14:val="hlink"/>
        </w14:solidFill>
      </w14:textFill>
    </w:rPr>
  </w:style>
  <w:style w:type="character" w:styleId="41">
    <w:name w:val="annotation reference"/>
    <w:basedOn w:val="34"/>
    <w:unhideWhenUsed/>
    <w:qFormat/>
    <w:uiPriority w:val="0"/>
    <w:rPr>
      <w:sz w:val="21"/>
      <w:szCs w:val="21"/>
    </w:rPr>
  </w:style>
  <w:style w:type="character" w:customStyle="1" w:styleId="42">
    <w:name w:val="标题 2 Char"/>
    <w:qFormat/>
    <w:uiPriority w:val="0"/>
    <w:rPr>
      <w:rFonts w:ascii="宋体" w:hAnsi="宋体" w:eastAsia="黑体"/>
      <w:bCs/>
      <w:sz w:val="32"/>
      <w:szCs w:val="36"/>
    </w:rPr>
  </w:style>
  <w:style w:type="character" w:customStyle="1" w:styleId="43">
    <w:name w:val="标题 1 Char"/>
    <w:qFormat/>
    <w:uiPriority w:val="9"/>
    <w:rPr>
      <w:b/>
      <w:bCs/>
      <w:kern w:val="44"/>
      <w:sz w:val="44"/>
      <w:szCs w:val="44"/>
    </w:rPr>
  </w:style>
  <w:style w:type="character" w:customStyle="1" w:styleId="44">
    <w:name w:val="标题 5 Char"/>
    <w:qFormat/>
    <w:uiPriority w:val="9"/>
    <w:rPr>
      <w:b/>
      <w:bCs/>
      <w:kern w:val="2"/>
      <w:sz w:val="28"/>
      <w:szCs w:val="28"/>
    </w:rPr>
  </w:style>
  <w:style w:type="character" w:customStyle="1" w:styleId="45">
    <w:name w:val="页眉 Char2"/>
    <w:basedOn w:val="34"/>
    <w:link w:val="23"/>
    <w:qFormat/>
    <w:uiPriority w:val="99"/>
    <w:rPr>
      <w:sz w:val="18"/>
      <w:szCs w:val="18"/>
    </w:rPr>
  </w:style>
  <w:style w:type="character" w:customStyle="1" w:styleId="46">
    <w:name w:val="页脚 Char2"/>
    <w:basedOn w:val="34"/>
    <w:link w:val="22"/>
    <w:qFormat/>
    <w:uiPriority w:val="99"/>
    <w:rPr>
      <w:sz w:val="18"/>
      <w:szCs w:val="18"/>
    </w:rPr>
  </w:style>
  <w:style w:type="character" w:customStyle="1" w:styleId="47">
    <w:name w:val="标题 1 Char1"/>
    <w:basedOn w:val="34"/>
    <w:link w:val="3"/>
    <w:qFormat/>
    <w:uiPriority w:val="9"/>
    <w:rPr>
      <w:rFonts w:ascii="Arial" w:hAnsi="Arial" w:eastAsia="仿宋" w:cs="宋体"/>
      <w:b/>
      <w:bCs/>
      <w:kern w:val="44"/>
      <w:sz w:val="30"/>
      <w:szCs w:val="30"/>
    </w:rPr>
  </w:style>
  <w:style w:type="character" w:customStyle="1" w:styleId="48">
    <w:name w:val="标题 2 Char2"/>
    <w:basedOn w:val="34"/>
    <w:link w:val="4"/>
    <w:qFormat/>
    <w:uiPriority w:val="0"/>
    <w:rPr>
      <w:rFonts w:ascii="Arial" w:hAnsi="Arial" w:eastAsia="仿宋" w:cs="宋体"/>
      <w:b/>
      <w:bCs/>
      <w:kern w:val="2"/>
      <w:sz w:val="32"/>
      <w:szCs w:val="28"/>
    </w:rPr>
  </w:style>
  <w:style w:type="character" w:customStyle="1" w:styleId="49">
    <w:name w:val="标题 3 Char1"/>
    <w:basedOn w:val="34"/>
    <w:link w:val="5"/>
    <w:qFormat/>
    <w:uiPriority w:val="0"/>
    <w:rPr>
      <w:rFonts w:ascii="Arial" w:hAnsi="Arial" w:eastAsia="仿宋" w:cs="宋体"/>
      <w:b/>
      <w:bCs/>
      <w:kern w:val="2"/>
      <w:sz w:val="32"/>
      <w:szCs w:val="24"/>
    </w:rPr>
  </w:style>
  <w:style w:type="character" w:customStyle="1" w:styleId="50">
    <w:name w:val="标题 4 Char1"/>
    <w:basedOn w:val="34"/>
    <w:link w:val="6"/>
    <w:qFormat/>
    <w:uiPriority w:val="0"/>
    <w:rPr>
      <w:rFonts w:ascii="Arial" w:hAnsi="Arial" w:eastAsia="仿宋" w:cs="宋体"/>
      <w:b/>
      <w:bCs/>
      <w:kern w:val="2"/>
      <w:sz w:val="32"/>
      <w:szCs w:val="24"/>
    </w:rPr>
  </w:style>
  <w:style w:type="character" w:customStyle="1" w:styleId="51">
    <w:name w:val="标题 5 Char1"/>
    <w:basedOn w:val="34"/>
    <w:link w:val="7"/>
    <w:qFormat/>
    <w:uiPriority w:val="9"/>
    <w:rPr>
      <w:rFonts w:ascii="Arial" w:hAnsi="Arial" w:eastAsia="仿宋" w:cs="宋体"/>
      <w:b/>
      <w:bCs/>
      <w:kern w:val="2"/>
      <w:sz w:val="32"/>
      <w:szCs w:val="24"/>
    </w:rPr>
  </w:style>
  <w:style w:type="character" w:customStyle="1" w:styleId="52">
    <w:name w:val="标题 6 Char1"/>
    <w:basedOn w:val="34"/>
    <w:link w:val="8"/>
    <w:qFormat/>
    <w:uiPriority w:val="9"/>
    <w:rPr>
      <w:rFonts w:ascii="Arial" w:hAnsi="Arial" w:eastAsia="仿宋" w:cs="宋体"/>
      <w:b/>
      <w:bCs/>
      <w:kern w:val="2"/>
      <w:sz w:val="32"/>
      <w:szCs w:val="24"/>
    </w:rPr>
  </w:style>
  <w:style w:type="character" w:customStyle="1" w:styleId="53">
    <w:name w:val="标题 7 Char1"/>
    <w:basedOn w:val="34"/>
    <w:link w:val="9"/>
    <w:qFormat/>
    <w:uiPriority w:val="9"/>
    <w:rPr>
      <w:rFonts w:ascii="Arial" w:hAnsi="Arial" w:eastAsia="仿宋" w:cs="宋体"/>
      <w:b/>
      <w:bCs/>
      <w:kern w:val="2"/>
      <w:sz w:val="32"/>
      <w:szCs w:val="24"/>
    </w:rPr>
  </w:style>
  <w:style w:type="character" w:customStyle="1" w:styleId="54">
    <w:name w:val="标题 8 Char1"/>
    <w:basedOn w:val="34"/>
    <w:link w:val="10"/>
    <w:qFormat/>
    <w:uiPriority w:val="9"/>
    <w:rPr>
      <w:rFonts w:ascii="Arial" w:hAnsi="Arial" w:eastAsia="仿宋" w:cs="宋体"/>
      <w:b/>
      <w:kern w:val="2"/>
      <w:sz w:val="32"/>
      <w:szCs w:val="24"/>
    </w:rPr>
  </w:style>
  <w:style w:type="character" w:customStyle="1" w:styleId="55">
    <w:name w:val="标题 9 Char1"/>
    <w:basedOn w:val="34"/>
    <w:link w:val="11"/>
    <w:qFormat/>
    <w:uiPriority w:val="9"/>
    <w:rPr>
      <w:rFonts w:ascii="Arial" w:hAnsi="Arial" w:eastAsia="仿宋" w:cs="宋体"/>
      <w:b/>
      <w:bCs/>
      <w:kern w:val="2"/>
      <w:sz w:val="32"/>
      <w:szCs w:val="24"/>
    </w:rPr>
  </w:style>
  <w:style w:type="paragraph" w:customStyle="1" w:styleId="56">
    <w:name w:val="TOC 标题1"/>
    <w:basedOn w:val="3"/>
    <w:next w:val="1"/>
    <w:unhideWhenUsed/>
    <w:qFormat/>
    <w:uiPriority w:val="0"/>
    <w:pPr>
      <w:widowControl/>
      <w:numPr>
        <w:numId w:val="0"/>
      </w:numPr>
      <w:spacing w:before="50" w:beforeLines="50"/>
      <w:jc w:val="center"/>
      <w:outlineLvl w:val="9"/>
    </w:pPr>
    <w:rPr>
      <w:bCs w:val="0"/>
      <w:kern w:val="0"/>
      <w:sz w:val="28"/>
      <w:szCs w:val="28"/>
    </w:rPr>
  </w:style>
  <w:style w:type="paragraph" w:customStyle="1" w:styleId="57">
    <w:name w:val="图片"/>
    <w:basedOn w:val="1"/>
    <w:link w:val="58"/>
    <w:qFormat/>
    <w:uiPriority w:val="0"/>
    <w:pPr>
      <w:ind w:firstLine="0" w:firstLineChars="0"/>
      <w:jc w:val="center"/>
    </w:pPr>
    <w:rPr>
      <w:sz w:val="21"/>
      <w:szCs w:val="21"/>
    </w:rPr>
  </w:style>
  <w:style w:type="character" w:customStyle="1" w:styleId="58">
    <w:name w:val="图片 字符"/>
    <w:basedOn w:val="34"/>
    <w:link w:val="57"/>
    <w:qFormat/>
    <w:uiPriority w:val="0"/>
    <w:rPr>
      <w:rFonts w:ascii="宋体" w:hAnsi="宋体" w:eastAsia="宋体" w:cs="宋体"/>
      <w:szCs w:val="21"/>
    </w:rPr>
  </w:style>
  <w:style w:type="paragraph" w:styleId="59">
    <w:name w:val="List Paragraph"/>
    <w:basedOn w:val="1"/>
    <w:qFormat/>
    <w:uiPriority w:val="34"/>
    <w:pPr>
      <w:ind w:firstLine="420"/>
    </w:pPr>
  </w:style>
  <w:style w:type="paragraph" w:customStyle="1" w:styleId="60">
    <w:name w:val="表格"/>
    <w:basedOn w:val="1"/>
    <w:link w:val="61"/>
    <w:qFormat/>
    <w:uiPriority w:val="0"/>
    <w:pPr>
      <w:widowControl/>
      <w:spacing w:line="240" w:lineRule="auto"/>
      <w:ind w:firstLine="0" w:firstLineChars="0"/>
      <w:jc w:val="center"/>
      <w:textAlignment w:val="center"/>
    </w:pPr>
    <w:rPr>
      <w:rFonts w:ascii="仿宋" w:hAnsi="仿宋" w:cs="仿宋"/>
      <w:color w:val="0D0D0D"/>
      <w:sz w:val="24"/>
    </w:rPr>
  </w:style>
  <w:style w:type="character" w:customStyle="1" w:styleId="61">
    <w:name w:val="表格 字符"/>
    <w:basedOn w:val="34"/>
    <w:link w:val="60"/>
    <w:qFormat/>
    <w:uiPriority w:val="0"/>
    <w:rPr>
      <w:rFonts w:ascii="仿宋" w:hAnsi="仿宋" w:eastAsia="仿宋" w:cs="仿宋"/>
      <w:color w:val="0D0D0D"/>
      <w:sz w:val="24"/>
      <w:szCs w:val="24"/>
    </w:rPr>
  </w:style>
  <w:style w:type="character" w:customStyle="1" w:styleId="62">
    <w:name w:val="批注文字 Char2"/>
    <w:basedOn w:val="34"/>
    <w:link w:val="14"/>
    <w:qFormat/>
    <w:uiPriority w:val="99"/>
    <w:rPr>
      <w:rFonts w:ascii="宋体" w:hAnsi="宋体" w:eastAsia="宋体" w:cs="宋体"/>
      <w:sz w:val="24"/>
      <w:szCs w:val="24"/>
    </w:rPr>
  </w:style>
  <w:style w:type="character" w:customStyle="1" w:styleId="63">
    <w:name w:val="批注主题 Char2"/>
    <w:basedOn w:val="62"/>
    <w:link w:val="30"/>
    <w:qFormat/>
    <w:uiPriority w:val="0"/>
    <w:rPr>
      <w:rFonts w:ascii="宋体" w:hAnsi="宋体" w:eastAsia="宋体" w:cs="宋体"/>
      <w:b/>
      <w:bCs/>
      <w:sz w:val="24"/>
      <w:szCs w:val="24"/>
    </w:rPr>
  </w:style>
  <w:style w:type="character" w:customStyle="1" w:styleId="64">
    <w:name w:val="批注框文本 Char2"/>
    <w:basedOn w:val="34"/>
    <w:link w:val="21"/>
    <w:qFormat/>
    <w:uiPriority w:val="0"/>
    <w:rPr>
      <w:rFonts w:ascii="宋体" w:hAnsi="宋体" w:eastAsia="宋体" w:cs="宋体"/>
      <w:sz w:val="18"/>
      <w:szCs w:val="18"/>
    </w:rPr>
  </w:style>
  <w:style w:type="character" w:customStyle="1" w:styleId="65">
    <w:name w:val="fontstyle01"/>
    <w:basedOn w:val="34"/>
    <w:qFormat/>
    <w:uiPriority w:val="0"/>
    <w:rPr>
      <w:rFonts w:hint="eastAsia" w:ascii="仿宋_GB2312" w:eastAsia="仿宋_GB2312"/>
      <w:color w:val="000000"/>
      <w:sz w:val="32"/>
      <w:szCs w:val="32"/>
    </w:rPr>
  </w:style>
  <w:style w:type="character" w:customStyle="1" w:styleId="66">
    <w:name w:val="正文文本 Char"/>
    <w:basedOn w:val="34"/>
    <w:link w:val="15"/>
    <w:qFormat/>
    <w:uiPriority w:val="1"/>
    <w:rPr>
      <w:rFonts w:ascii="宋体" w:hAnsi="宋体" w:eastAsia="仿宋" w:cs="宋体"/>
      <w:kern w:val="0"/>
      <w:sz w:val="32"/>
      <w:szCs w:val="32"/>
      <w:lang w:eastAsia="en-US"/>
    </w:rPr>
  </w:style>
  <w:style w:type="table" w:customStyle="1" w:styleId="67">
    <w:name w:val="Table Normal"/>
    <w:semiHidden/>
    <w:unhideWhenUsed/>
    <w:qFormat/>
    <w:uiPriority w:val="2"/>
    <w:pPr>
      <w:widowControl w:val="0"/>
      <w:autoSpaceDE w:val="0"/>
      <w:autoSpaceDN w:val="0"/>
    </w:pPr>
    <w:rPr>
      <w:sz w:val="22"/>
      <w:lang w:eastAsia="en-US"/>
    </w:rPr>
    <w:tblPr>
      <w:tblCellMar>
        <w:top w:w="0" w:type="dxa"/>
        <w:left w:w="0" w:type="dxa"/>
        <w:bottom w:w="0" w:type="dxa"/>
        <w:right w:w="0" w:type="dxa"/>
      </w:tblCellMar>
    </w:tblPr>
  </w:style>
  <w:style w:type="paragraph" w:customStyle="1" w:styleId="68">
    <w:name w:val="Table Paragraph"/>
    <w:basedOn w:val="1"/>
    <w:qFormat/>
    <w:uiPriority w:val="1"/>
    <w:pPr>
      <w:autoSpaceDE w:val="0"/>
      <w:autoSpaceDN w:val="0"/>
      <w:adjustRightInd/>
      <w:snapToGrid/>
      <w:spacing w:line="240" w:lineRule="auto"/>
      <w:ind w:firstLine="0" w:firstLineChars="0"/>
      <w:jc w:val="left"/>
    </w:pPr>
    <w:rPr>
      <w:rFonts w:ascii="宋体" w:hAnsi="宋体"/>
      <w:kern w:val="0"/>
      <w:sz w:val="22"/>
      <w:szCs w:val="22"/>
      <w:lang w:eastAsia="en-US"/>
    </w:rPr>
  </w:style>
  <w:style w:type="paragraph" w:customStyle="1" w:styleId="69">
    <w:name w:val="列出段落1"/>
    <w:basedOn w:val="1"/>
    <w:link w:val="70"/>
    <w:qFormat/>
    <w:uiPriority w:val="34"/>
    <w:pPr>
      <w:adjustRightInd/>
      <w:snapToGrid/>
      <w:ind w:firstLine="420" w:firstLineChars="0"/>
    </w:pPr>
    <w:rPr>
      <w:rFonts w:ascii="宋体" w:hAnsi="宋体"/>
      <w:kern w:val="0"/>
      <w:szCs w:val="20"/>
    </w:rPr>
  </w:style>
  <w:style w:type="character" w:customStyle="1" w:styleId="70">
    <w:name w:val="列出段落 Char"/>
    <w:link w:val="69"/>
    <w:qFormat/>
    <w:locked/>
    <w:uiPriority w:val="34"/>
    <w:rPr>
      <w:rFonts w:ascii="宋体" w:hAnsi="宋体" w:eastAsia="宋体" w:cs="宋体"/>
      <w:kern w:val="0"/>
      <w:sz w:val="24"/>
      <w:szCs w:val="20"/>
    </w:rPr>
  </w:style>
  <w:style w:type="character" w:customStyle="1" w:styleId="71">
    <w:name w:val="页脚 Char"/>
    <w:qFormat/>
    <w:uiPriority w:val="99"/>
    <w:rPr>
      <w:kern w:val="2"/>
      <w:sz w:val="18"/>
      <w:szCs w:val="18"/>
    </w:rPr>
  </w:style>
  <w:style w:type="character" w:customStyle="1" w:styleId="72">
    <w:name w:val="style61"/>
    <w:qFormat/>
    <w:uiPriority w:val="0"/>
    <w:rPr>
      <w:rFonts w:hint="eastAsia" w:ascii="宋体" w:hAnsi="宋体" w:eastAsia="宋体"/>
      <w:b/>
      <w:bCs/>
      <w:sz w:val="36"/>
      <w:szCs w:val="36"/>
    </w:rPr>
  </w:style>
  <w:style w:type="character" w:customStyle="1" w:styleId="73">
    <w:name w:val="页眉 Char"/>
    <w:qFormat/>
    <w:uiPriority w:val="99"/>
    <w:rPr>
      <w:kern w:val="2"/>
      <w:sz w:val="18"/>
      <w:szCs w:val="18"/>
    </w:rPr>
  </w:style>
  <w:style w:type="character" w:customStyle="1" w:styleId="74">
    <w:name w:val="正文文本缩进 Char2"/>
    <w:link w:val="16"/>
    <w:qFormat/>
    <w:uiPriority w:val="0"/>
    <w:rPr>
      <w:rFonts w:ascii="仿宋_GB2312" w:hAnsi="宋体" w:eastAsia="仿宋_GB2312"/>
      <w:sz w:val="28"/>
      <w:szCs w:val="24"/>
    </w:rPr>
  </w:style>
  <w:style w:type="character" w:customStyle="1" w:styleId="75">
    <w:name w:val="纯文本 Char3"/>
    <w:link w:val="18"/>
    <w:qFormat/>
    <w:uiPriority w:val="0"/>
    <w:rPr>
      <w:rFonts w:ascii="宋体" w:hAnsi="Courier New"/>
      <w:szCs w:val="21"/>
    </w:rPr>
  </w:style>
  <w:style w:type="character" w:customStyle="1" w:styleId="76">
    <w:name w:val="标题 2 Char1"/>
    <w:qFormat/>
    <w:uiPriority w:val="0"/>
    <w:rPr>
      <w:rFonts w:ascii="Arial" w:hAnsi="Arial" w:eastAsia="黑体"/>
      <w:b/>
      <w:bCs/>
      <w:kern w:val="2"/>
      <w:sz w:val="32"/>
      <w:szCs w:val="32"/>
    </w:rPr>
  </w:style>
  <w:style w:type="character" w:customStyle="1" w:styleId="77">
    <w:name w:val="批注框文本 Char"/>
    <w:qFormat/>
    <w:uiPriority w:val="99"/>
    <w:rPr>
      <w:kern w:val="2"/>
      <w:sz w:val="18"/>
      <w:szCs w:val="18"/>
    </w:rPr>
  </w:style>
  <w:style w:type="character" w:customStyle="1" w:styleId="78">
    <w:name w:val="font11"/>
    <w:qFormat/>
    <w:uiPriority w:val="0"/>
    <w:rPr>
      <w:rFonts w:hint="default" w:ascii="Calibri" w:hAnsi="Calibri" w:cs="Calibri"/>
      <w:color w:val="333333"/>
      <w:sz w:val="20"/>
      <w:szCs w:val="20"/>
      <w:u w:val="none"/>
    </w:rPr>
  </w:style>
  <w:style w:type="character" w:customStyle="1" w:styleId="79">
    <w:name w:val="font21"/>
    <w:qFormat/>
    <w:uiPriority w:val="0"/>
    <w:rPr>
      <w:rFonts w:hint="eastAsia" w:ascii="宋体" w:hAnsi="宋体" w:eastAsia="宋体" w:cs="宋体"/>
      <w:color w:val="000000"/>
      <w:sz w:val="20"/>
      <w:szCs w:val="20"/>
      <w:u w:val="none"/>
    </w:rPr>
  </w:style>
  <w:style w:type="character" w:customStyle="1" w:styleId="80">
    <w:name w:val="font51"/>
    <w:qFormat/>
    <w:uiPriority w:val="0"/>
    <w:rPr>
      <w:rFonts w:hint="eastAsia" w:ascii="宋体" w:hAnsi="宋体" w:eastAsia="宋体" w:cs="宋体"/>
      <w:color w:val="000000"/>
      <w:sz w:val="20"/>
      <w:szCs w:val="20"/>
      <w:u w:val="none"/>
    </w:rPr>
  </w:style>
  <w:style w:type="character" w:customStyle="1" w:styleId="81">
    <w:name w:val="font01"/>
    <w:qFormat/>
    <w:uiPriority w:val="0"/>
    <w:rPr>
      <w:rFonts w:hint="eastAsia" w:ascii="宋体" w:hAnsi="宋体" w:eastAsia="宋体" w:cs="宋体"/>
      <w:color w:val="333333"/>
      <w:sz w:val="20"/>
      <w:szCs w:val="20"/>
      <w:u w:val="none"/>
    </w:rPr>
  </w:style>
  <w:style w:type="character" w:customStyle="1" w:styleId="82">
    <w:name w:val="标题 4 Char"/>
    <w:qFormat/>
    <w:uiPriority w:val="0"/>
    <w:rPr>
      <w:rFonts w:ascii="Cambria" w:hAnsi="Cambria" w:eastAsia="宋体" w:cs="Times New Roman"/>
      <w:b/>
      <w:bCs/>
      <w:kern w:val="2"/>
      <w:sz w:val="28"/>
      <w:szCs w:val="28"/>
    </w:rPr>
  </w:style>
  <w:style w:type="character" w:customStyle="1" w:styleId="83">
    <w:name w:val="标题 3 Char"/>
    <w:qFormat/>
    <w:uiPriority w:val="0"/>
    <w:rPr>
      <w:rFonts w:eastAsia="黑体"/>
      <w:bCs/>
      <w:sz w:val="28"/>
      <w:szCs w:val="32"/>
    </w:rPr>
  </w:style>
  <w:style w:type="character" w:customStyle="1" w:styleId="84">
    <w:name w:val="标题 9 Char"/>
    <w:qFormat/>
    <w:uiPriority w:val="9"/>
    <w:rPr>
      <w:rFonts w:ascii="Cambria" w:hAnsi="Cambria"/>
      <w:szCs w:val="21"/>
    </w:rPr>
  </w:style>
  <w:style w:type="character" w:customStyle="1" w:styleId="85">
    <w:name w:val="批注文字 Char"/>
    <w:qFormat/>
    <w:uiPriority w:val="99"/>
    <w:rPr>
      <w:kern w:val="2"/>
      <w:sz w:val="21"/>
      <w:szCs w:val="24"/>
    </w:rPr>
  </w:style>
  <w:style w:type="character" w:customStyle="1" w:styleId="86">
    <w:name w:val="批注主题 Char"/>
    <w:qFormat/>
    <w:uiPriority w:val="99"/>
    <w:rPr>
      <w:rFonts w:ascii="Calibri" w:hAnsi="Calibri"/>
      <w:b/>
      <w:bCs/>
      <w:kern w:val="2"/>
      <w:sz w:val="21"/>
      <w:szCs w:val="22"/>
    </w:rPr>
  </w:style>
  <w:style w:type="character" w:customStyle="1" w:styleId="87">
    <w:name w:val="文档结构图 Char2"/>
    <w:link w:val="13"/>
    <w:qFormat/>
    <w:uiPriority w:val="0"/>
    <w:rPr>
      <w:rFonts w:ascii="宋体"/>
      <w:sz w:val="18"/>
      <w:szCs w:val="18"/>
    </w:rPr>
  </w:style>
  <w:style w:type="character" w:customStyle="1" w:styleId="88">
    <w:name w:val="尾注文本 Char2"/>
    <w:link w:val="20"/>
    <w:qFormat/>
    <w:uiPriority w:val="0"/>
    <w:rPr>
      <w:rFonts w:ascii="Calibri" w:hAnsi="Calibri"/>
    </w:rPr>
  </w:style>
  <w:style w:type="character" w:customStyle="1" w:styleId="89">
    <w:name w:val="副标题 Char2"/>
    <w:link w:val="25"/>
    <w:qFormat/>
    <w:uiPriority w:val="11"/>
    <w:rPr>
      <w:rFonts w:ascii="Cambria" w:hAnsi="Cambria"/>
      <w:b/>
      <w:bCs/>
      <w:kern w:val="28"/>
      <w:sz w:val="32"/>
      <w:szCs w:val="32"/>
    </w:rPr>
  </w:style>
  <w:style w:type="character" w:customStyle="1" w:styleId="90">
    <w:name w:val="4"/>
    <w:unhideWhenUsed/>
    <w:qFormat/>
    <w:uiPriority w:val="99"/>
    <w:rPr>
      <w:color w:val="808080"/>
    </w:rPr>
  </w:style>
  <w:style w:type="character" w:customStyle="1" w:styleId="91">
    <w:name w:val="TT Char"/>
    <w:link w:val="92"/>
    <w:qFormat/>
    <w:uiPriority w:val="0"/>
    <w:rPr>
      <w:rFonts w:ascii="宋体" w:hAnsi="宋体"/>
      <w:b/>
      <w:color w:val="C00000"/>
      <w:sz w:val="18"/>
      <w:szCs w:val="18"/>
    </w:rPr>
  </w:style>
  <w:style w:type="paragraph" w:customStyle="1" w:styleId="92">
    <w:name w:val="TT"/>
    <w:basedOn w:val="1"/>
    <w:link w:val="91"/>
    <w:qFormat/>
    <w:uiPriority w:val="0"/>
    <w:pPr>
      <w:adjustRightInd/>
      <w:snapToGrid/>
      <w:ind w:firstLine="420" w:firstLineChars="0"/>
      <w:jc w:val="center"/>
    </w:pPr>
    <w:rPr>
      <w:rFonts w:ascii="宋体" w:hAnsi="宋体" w:eastAsiaTheme="minorEastAsia" w:cstheme="minorBidi"/>
      <w:b/>
      <w:color w:val="C00000"/>
      <w:sz w:val="18"/>
      <w:szCs w:val="18"/>
    </w:rPr>
  </w:style>
  <w:style w:type="character" w:customStyle="1" w:styleId="93">
    <w:name w:val="纯文本 Char1"/>
    <w:qFormat/>
    <w:uiPriority w:val="0"/>
    <w:rPr>
      <w:rFonts w:ascii="宋体" w:hAnsi="Courier New" w:eastAsia="宋体" w:cs="Times New Roman"/>
      <w:color w:val="000000"/>
      <w:sz w:val="24"/>
      <w:szCs w:val="20"/>
    </w:rPr>
  </w:style>
  <w:style w:type="character" w:customStyle="1" w:styleId="94">
    <w:name w:val="表头 Char"/>
    <w:link w:val="95"/>
    <w:qFormat/>
    <w:uiPriority w:val="0"/>
    <w:rPr>
      <w:rFonts w:ascii="宋体" w:hAnsi="宋体"/>
      <w:b/>
      <w:color w:val="000000"/>
      <w:sz w:val="24"/>
    </w:rPr>
  </w:style>
  <w:style w:type="paragraph" w:customStyle="1" w:styleId="95">
    <w:name w:val="表头"/>
    <w:basedOn w:val="1"/>
    <w:link w:val="94"/>
    <w:qFormat/>
    <w:uiPriority w:val="0"/>
    <w:pPr>
      <w:adjustRightInd/>
      <w:snapToGrid/>
      <w:ind w:firstLine="0" w:firstLineChars="0"/>
      <w:jc w:val="left"/>
    </w:pPr>
    <w:rPr>
      <w:rFonts w:ascii="宋体" w:hAnsi="宋体" w:eastAsiaTheme="minorEastAsia" w:cstheme="minorBidi"/>
      <w:b/>
      <w:color w:val="000000"/>
      <w:sz w:val="24"/>
      <w:szCs w:val="22"/>
    </w:rPr>
  </w:style>
  <w:style w:type="character" w:customStyle="1" w:styleId="96">
    <w:name w:val="opt js-edittext"/>
    <w:qFormat/>
    <w:uiPriority w:val="0"/>
  </w:style>
  <w:style w:type="character" w:customStyle="1" w:styleId="97">
    <w:name w:val="apple-converted-space"/>
    <w:qFormat/>
    <w:uiPriority w:val="0"/>
  </w:style>
  <w:style w:type="character" w:customStyle="1" w:styleId="98">
    <w:name w:val="图片 Char"/>
    <w:qFormat/>
    <w:uiPriority w:val="0"/>
    <w:rPr>
      <w:rFonts w:ascii="宋体" w:hAnsi="宋体"/>
      <w:b/>
      <w:kern w:val="2"/>
      <w:sz w:val="24"/>
      <w:szCs w:val="24"/>
    </w:rPr>
  </w:style>
  <w:style w:type="character" w:customStyle="1" w:styleId="99">
    <w:name w:val="日期 Char2"/>
    <w:link w:val="19"/>
    <w:qFormat/>
    <w:locked/>
    <w:uiPriority w:val="0"/>
    <w:rPr>
      <w:szCs w:val="24"/>
    </w:rPr>
  </w:style>
  <w:style w:type="character" w:customStyle="1" w:styleId="100">
    <w:name w:val="1"/>
    <w:qFormat/>
    <w:uiPriority w:val="0"/>
    <w:rPr>
      <w:color w:val="808080"/>
    </w:rPr>
  </w:style>
  <w:style w:type="character" w:customStyle="1" w:styleId="101">
    <w:name w:val="图题表 Char"/>
    <w:link w:val="102"/>
    <w:qFormat/>
    <w:uiPriority w:val="0"/>
    <w:rPr>
      <w:sz w:val="24"/>
      <w:szCs w:val="24"/>
    </w:rPr>
  </w:style>
  <w:style w:type="paragraph" w:customStyle="1" w:styleId="102">
    <w:name w:val="图题表"/>
    <w:basedOn w:val="1"/>
    <w:link w:val="101"/>
    <w:qFormat/>
    <w:uiPriority w:val="0"/>
    <w:pPr>
      <w:widowControl/>
      <w:adjustRightInd/>
      <w:snapToGrid/>
      <w:spacing w:line="240" w:lineRule="auto"/>
      <w:ind w:firstLine="0" w:firstLineChars="0"/>
      <w:jc w:val="center"/>
    </w:pPr>
    <w:rPr>
      <w:rFonts w:asciiTheme="minorHAnsi" w:hAnsiTheme="minorHAnsi" w:eastAsiaTheme="minorEastAsia" w:cstheme="minorBidi"/>
      <w:sz w:val="24"/>
    </w:rPr>
  </w:style>
  <w:style w:type="character" w:customStyle="1" w:styleId="103">
    <w:name w:val="副标题 字符"/>
    <w:basedOn w:val="34"/>
    <w:qFormat/>
    <w:uiPriority w:val="0"/>
    <w:rPr>
      <w:b/>
      <w:bCs/>
      <w:kern w:val="28"/>
      <w:sz w:val="32"/>
      <w:szCs w:val="32"/>
    </w:rPr>
  </w:style>
  <w:style w:type="paragraph" w:customStyle="1" w:styleId="104">
    <w:name w:val="_Style 89"/>
    <w:basedOn w:val="1"/>
    <w:next w:val="1"/>
    <w:qFormat/>
    <w:uiPriority w:val="0"/>
    <w:pPr>
      <w:adjustRightInd/>
      <w:snapToGrid/>
      <w:ind w:left="420" w:leftChars="200" w:firstLine="0" w:firstLineChars="0"/>
    </w:pPr>
    <w:rPr>
      <w:rFonts w:ascii="Times New Roman" w:hAnsi="Times New Roman" w:eastAsia="宋体" w:cs="Times New Roman"/>
      <w:sz w:val="30"/>
    </w:rPr>
  </w:style>
  <w:style w:type="character" w:customStyle="1" w:styleId="105">
    <w:name w:val="尾注文本 字符"/>
    <w:basedOn w:val="34"/>
    <w:qFormat/>
    <w:uiPriority w:val="0"/>
    <w:rPr>
      <w:rFonts w:ascii="Arial" w:hAnsi="Arial" w:eastAsia="仿宋" w:cs="宋体"/>
      <w:sz w:val="32"/>
      <w:szCs w:val="24"/>
    </w:rPr>
  </w:style>
  <w:style w:type="character" w:customStyle="1" w:styleId="106">
    <w:name w:val="文档结构图 字符"/>
    <w:basedOn w:val="34"/>
    <w:qFormat/>
    <w:uiPriority w:val="0"/>
    <w:rPr>
      <w:rFonts w:ascii="Microsoft YaHei UI" w:hAnsi="Arial" w:eastAsia="Microsoft YaHei UI" w:cs="宋体"/>
      <w:sz w:val="18"/>
      <w:szCs w:val="18"/>
    </w:rPr>
  </w:style>
  <w:style w:type="character" w:customStyle="1" w:styleId="107">
    <w:name w:val="日期 字符"/>
    <w:basedOn w:val="34"/>
    <w:qFormat/>
    <w:uiPriority w:val="0"/>
    <w:rPr>
      <w:rFonts w:ascii="Arial" w:hAnsi="Arial" w:eastAsia="仿宋" w:cs="宋体"/>
      <w:sz w:val="32"/>
      <w:szCs w:val="24"/>
    </w:rPr>
  </w:style>
  <w:style w:type="character" w:customStyle="1" w:styleId="108">
    <w:name w:val="正文文本缩进 字符"/>
    <w:basedOn w:val="34"/>
    <w:qFormat/>
    <w:uiPriority w:val="0"/>
    <w:rPr>
      <w:rFonts w:ascii="Arial" w:hAnsi="Arial" w:eastAsia="仿宋" w:cs="宋体"/>
      <w:sz w:val="32"/>
      <w:szCs w:val="24"/>
    </w:rPr>
  </w:style>
  <w:style w:type="paragraph" w:customStyle="1" w:styleId="109">
    <w:name w:val="2"/>
    <w:basedOn w:val="1"/>
    <w:qFormat/>
    <w:uiPriority w:val="0"/>
    <w:pPr>
      <w:widowControl/>
      <w:adjustRightInd/>
      <w:snapToGrid/>
      <w:spacing w:line="240" w:lineRule="auto"/>
      <w:ind w:firstLine="420"/>
      <w:jc w:val="left"/>
    </w:pPr>
    <w:rPr>
      <w:rFonts w:ascii="Times New Roman" w:hAnsi="Times New Roman" w:eastAsia="宋体" w:cs="Times New Roman"/>
      <w:sz w:val="21"/>
      <w:szCs w:val="21"/>
    </w:rPr>
  </w:style>
  <w:style w:type="paragraph" w:styleId="110">
    <w:name w:val="No Spacing"/>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11">
    <w:name w:val="纯文本 字符"/>
    <w:basedOn w:val="34"/>
    <w:qFormat/>
    <w:uiPriority w:val="0"/>
    <w:rPr>
      <w:rFonts w:hAnsi="Courier New" w:cs="Courier New" w:asciiTheme="minorEastAsia"/>
      <w:sz w:val="32"/>
      <w:szCs w:val="24"/>
    </w:rPr>
  </w:style>
  <w:style w:type="paragraph" w:customStyle="1" w:styleId="112">
    <w:name w:val="3"/>
    <w:semiHidden/>
    <w:qFormat/>
    <w:uiPriority w:val="0"/>
    <w:rPr>
      <w:rFonts w:ascii="Calibri" w:hAnsi="Calibri" w:eastAsia="宋体" w:cs="Times New Roman"/>
      <w:kern w:val="2"/>
      <w:sz w:val="21"/>
      <w:szCs w:val="22"/>
      <w:lang w:val="en-US" w:eastAsia="zh-CN" w:bidi="ar-SA"/>
    </w:rPr>
  </w:style>
  <w:style w:type="paragraph" w:customStyle="1" w:styleId="113">
    <w:name w:val="Char"/>
    <w:basedOn w:val="1"/>
    <w:semiHidden/>
    <w:qFormat/>
    <w:uiPriority w:val="0"/>
    <w:pPr>
      <w:widowControl/>
      <w:adjustRightInd/>
      <w:snapToGrid/>
      <w:spacing w:line="240" w:lineRule="auto"/>
      <w:ind w:firstLine="0" w:firstLineChars="0"/>
      <w:jc w:val="left"/>
    </w:pPr>
    <w:rPr>
      <w:rFonts w:ascii="仿宋_GB2312" w:eastAsia="仿宋_GB2312" w:cs="Times New Roman"/>
      <w:b/>
      <w:spacing w:val="-5"/>
      <w:kern w:val="0"/>
      <w:szCs w:val="32"/>
    </w:rPr>
  </w:style>
  <w:style w:type="paragraph" w:customStyle="1" w:styleId="114">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customStyle="1" w:styleId="115">
    <w:name w:val="style4"/>
    <w:basedOn w:val="1"/>
    <w:qFormat/>
    <w:uiPriority w:val="0"/>
    <w:pPr>
      <w:widowControl/>
      <w:adjustRightInd/>
      <w:snapToGrid/>
      <w:spacing w:before="100" w:beforeAutospacing="1" w:after="100" w:afterAutospacing="1" w:line="240" w:lineRule="auto"/>
      <w:ind w:firstLine="0" w:firstLineChars="0"/>
      <w:jc w:val="left"/>
    </w:pPr>
    <w:rPr>
      <w:rFonts w:ascii="黑体" w:hAnsi="宋体" w:eastAsia="黑体"/>
      <w:kern w:val="0"/>
      <w:sz w:val="36"/>
      <w:szCs w:val="36"/>
    </w:rPr>
  </w:style>
  <w:style w:type="paragraph" w:customStyle="1" w:styleId="116">
    <w:name w:val="日程表标题"/>
    <w:basedOn w:val="1"/>
    <w:qFormat/>
    <w:uiPriority w:val="0"/>
    <w:pPr>
      <w:adjustRightInd/>
      <w:snapToGrid/>
      <w:spacing w:before="100" w:beforeAutospacing="1" w:after="240" w:line="240" w:lineRule="auto"/>
      <w:ind w:firstLine="0" w:firstLineChars="0"/>
      <w:jc w:val="center"/>
    </w:pPr>
    <w:rPr>
      <w:rFonts w:ascii="华文新魏" w:hAnsi="Times New Roman" w:eastAsia="华文新魏"/>
      <w:b/>
      <w:bCs/>
      <w:spacing w:val="60"/>
      <w:sz w:val="52"/>
    </w:rPr>
  </w:style>
  <w:style w:type="paragraph" w:customStyle="1" w:styleId="117">
    <w:name w:val="reader-word-layer reader-word-s7-17"/>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kern w:val="0"/>
      <w:sz w:val="24"/>
    </w:rPr>
  </w:style>
  <w:style w:type="paragraph" w:customStyle="1" w:styleId="118">
    <w:name w:val="6"/>
    <w:semiHidden/>
    <w:qFormat/>
    <w:uiPriority w:val="99"/>
    <w:rPr>
      <w:rFonts w:ascii="Calibri" w:hAnsi="Calibri" w:eastAsia="宋体" w:cs="Times New Roman"/>
      <w:kern w:val="2"/>
      <w:sz w:val="21"/>
      <w:szCs w:val="22"/>
      <w:lang w:val="en-US" w:eastAsia="zh-CN" w:bidi="ar-SA"/>
    </w:rPr>
  </w:style>
  <w:style w:type="paragraph" w:customStyle="1" w:styleId="119">
    <w:name w:val="reader-word-layer reader-word-s7-11"/>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kern w:val="0"/>
      <w:sz w:val="24"/>
    </w:rPr>
  </w:style>
  <w:style w:type="paragraph" w:customStyle="1" w:styleId="120">
    <w:name w:val="reader-word-layer reader-word-s7-13"/>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kern w:val="0"/>
      <w:sz w:val="24"/>
    </w:rPr>
  </w:style>
  <w:style w:type="paragraph" w:customStyle="1" w:styleId="121">
    <w:name w:val="reader-word-layer reader-word-s8-12"/>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kern w:val="0"/>
      <w:sz w:val="24"/>
    </w:rPr>
  </w:style>
  <w:style w:type="paragraph" w:customStyle="1" w:styleId="122">
    <w:name w:val="reader-word-layer reader-word-s8-2"/>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kern w:val="0"/>
      <w:sz w:val="24"/>
    </w:rPr>
  </w:style>
  <w:style w:type="paragraph" w:customStyle="1" w:styleId="123">
    <w:name w:val="reader-word-layer reader-word-s7-8"/>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kern w:val="0"/>
      <w:sz w:val="24"/>
    </w:rPr>
  </w:style>
  <w:style w:type="paragraph" w:customStyle="1" w:styleId="124">
    <w:name w:val="nynr"/>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cs="Times New Roman"/>
      <w:kern w:val="0"/>
      <w:sz w:val="24"/>
    </w:rPr>
  </w:style>
  <w:style w:type="paragraph" w:customStyle="1" w:styleId="125">
    <w:name w:val="5"/>
    <w:basedOn w:val="1"/>
    <w:qFormat/>
    <w:uiPriority w:val="34"/>
    <w:pPr>
      <w:adjustRightInd/>
      <w:snapToGrid/>
      <w:spacing w:line="240" w:lineRule="auto"/>
      <w:ind w:firstLine="420"/>
    </w:pPr>
    <w:rPr>
      <w:rFonts w:ascii="Times New Roman" w:hAnsi="Times New Roman" w:eastAsia="宋体" w:cs="Times New Roman"/>
      <w:sz w:val="21"/>
      <w:szCs w:val="21"/>
    </w:rPr>
  </w:style>
  <w:style w:type="paragraph" w:customStyle="1" w:styleId="126">
    <w:name w:val="reader-word-layer reader-word-s8-7"/>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kern w:val="0"/>
      <w:sz w:val="24"/>
    </w:rPr>
  </w:style>
  <w:style w:type="paragraph" w:customStyle="1" w:styleId="127">
    <w:name w:val="reader-word-layer reader-word-s7-15"/>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kern w:val="0"/>
      <w:sz w:val="24"/>
    </w:rPr>
  </w:style>
  <w:style w:type="paragraph" w:customStyle="1" w:styleId="128">
    <w:name w:val="reader-word-layer reader-word-s7-9"/>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kern w:val="0"/>
      <w:sz w:val="24"/>
    </w:rPr>
  </w:style>
  <w:style w:type="paragraph" w:customStyle="1" w:styleId="129">
    <w:name w:val="reader-word-layer reader-word-s7-7"/>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kern w:val="0"/>
      <w:sz w:val="24"/>
    </w:rPr>
  </w:style>
  <w:style w:type="paragraph" w:customStyle="1" w:styleId="130">
    <w:name w:val="reader-word-layer reader-word-s7-4"/>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kern w:val="0"/>
      <w:sz w:val="24"/>
    </w:rPr>
  </w:style>
  <w:style w:type="paragraph" w:customStyle="1" w:styleId="131">
    <w:name w:val="reader-word-layer reader-word-s8-5"/>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kern w:val="0"/>
      <w:sz w:val="24"/>
    </w:rPr>
  </w:style>
  <w:style w:type="paragraph" w:customStyle="1" w:styleId="132">
    <w:name w:val="reader-word-layer reader-word-s7-16"/>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kern w:val="0"/>
      <w:sz w:val="24"/>
    </w:rPr>
  </w:style>
  <w:style w:type="paragraph" w:customStyle="1" w:styleId="133">
    <w:name w:val="TOC 标题11"/>
    <w:basedOn w:val="3"/>
    <w:next w:val="1"/>
    <w:qFormat/>
    <w:uiPriority w:val="0"/>
    <w:pPr>
      <w:widowControl/>
      <w:numPr>
        <w:numId w:val="0"/>
      </w:numPr>
      <w:adjustRightInd/>
      <w:snapToGrid/>
      <w:spacing w:before="480" w:line="276" w:lineRule="auto"/>
      <w:outlineLvl w:val="9"/>
    </w:pPr>
    <w:rPr>
      <w:rFonts w:ascii="Cambria" w:hAnsi="Cambria" w:eastAsia="宋体" w:cs="Times New Roman"/>
      <w:bCs w:val="0"/>
      <w:color w:val="365F91"/>
      <w:kern w:val="0"/>
      <w:sz w:val="28"/>
      <w:szCs w:val="28"/>
    </w:rPr>
  </w:style>
  <w:style w:type="table" w:customStyle="1" w:styleId="134">
    <w:name w:val="TableGrid"/>
    <w:qFormat/>
    <w:uiPriority w:val="0"/>
    <w:rPr>
      <w:rFonts w:ascii="Calibri" w:hAnsi="Calibri"/>
    </w:rPr>
    <w:tblPr>
      <w:tblCellMar>
        <w:top w:w="0" w:type="dxa"/>
        <w:left w:w="0" w:type="dxa"/>
        <w:bottom w:w="0" w:type="dxa"/>
        <w:right w:w="0" w:type="dxa"/>
      </w:tblCellMar>
    </w:tblPr>
  </w:style>
  <w:style w:type="character" w:customStyle="1" w:styleId="135">
    <w:name w:val="页脚 字符1"/>
    <w:qFormat/>
    <w:uiPriority w:val="99"/>
    <w:rPr>
      <w:kern w:val="2"/>
      <w:sz w:val="18"/>
      <w:szCs w:val="18"/>
    </w:rPr>
  </w:style>
  <w:style w:type="paragraph" w:customStyle="1" w:styleId="136">
    <w:name w:val="列表段落1"/>
    <w:basedOn w:val="1"/>
    <w:qFormat/>
    <w:uiPriority w:val="0"/>
    <w:pPr>
      <w:adjustRightInd/>
      <w:snapToGrid/>
      <w:spacing w:line="240" w:lineRule="auto"/>
      <w:ind w:firstLine="420"/>
    </w:pPr>
    <w:rPr>
      <w:rFonts w:ascii="Times New Roman" w:hAnsi="Times New Roman" w:eastAsia="宋体" w:cs="Times New Roman"/>
      <w:sz w:val="21"/>
    </w:rPr>
  </w:style>
  <w:style w:type="paragraph" w:customStyle="1" w:styleId="137">
    <w:name w:val="正文1"/>
    <w:qFormat/>
    <w:uiPriority w:val="0"/>
    <w:pPr>
      <w:jc w:val="both"/>
    </w:pPr>
    <w:rPr>
      <w:rFonts w:ascii="等线" w:hAnsi="等线" w:eastAsia="宋体" w:cs="宋体"/>
      <w:kern w:val="2"/>
      <w:sz w:val="21"/>
      <w:szCs w:val="21"/>
      <w:lang w:val="en-US" w:eastAsia="zh-CN" w:bidi="ar-SA"/>
    </w:rPr>
  </w:style>
  <w:style w:type="character" w:customStyle="1" w:styleId="138">
    <w:name w:val="标题 6 Char"/>
    <w:qFormat/>
    <w:uiPriority w:val="9"/>
    <w:rPr>
      <w:rFonts w:ascii="Calibri Light" w:hAnsi="Calibri Light"/>
      <w:b/>
      <w:bCs/>
      <w:kern w:val="2"/>
      <w:sz w:val="28"/>
      <w:szCs w:val="24"/>
      <w:lang w:val="zh-CN" w:eastAsia="zh-CN"/>
    </w:rPr>
  </w:style>
  <w:style w:type="character" w:customStyle="1" w:styleId="139">
    <w:name w:val="标题 7 Char"/>
    <w:qFormat/>
    <w:uiPriority w:val="9"/>
    <w:rPr>
      <w:b/>
      <w:bCs/>
      <w:kern w:val="2"/>
      <w:sz w:val="28"/>
      <w:szCs w:val="24"/>
      <w:lang w:val="zh-CN" w:eastAsia="zh-CN"/>
    </w:rPr>
  </w:style>
  <w:style w:type="character" w:customStyle="1" w:styleId="140">
    <w:name w:val="标题 8 Char"/>
    <w:qFormat/>
    <w:uiPriority w:val="9"/>
    <w:rPr>
      <w:rFonts w:ascii="Calibri Light" w:hAnsi="Calibri Light"/>
      <w:sz w:val="24"/>
      <w:szCs w:val="24"/>
      <w:lang w:val="zh-CN" w:eastAsia="zh-CN"/>
    </w:rPr>
  </w:style>
  <w:style w:type="paragraph" w:customStyle="1" w:styleId="141">
    <w:name w:val="网格表 5 深色 - 着色 11"/>
    <w:basedOn w:val="3"/>
    <w:next w:val="1"/>
    <w:qFormat/>
    <w:uiPriority w:val="0"/>
    <w:pPr>
      <w:widowControl/>
      <w:numPr>
        <w:numId w:val="0"/>
      </w:numPr>
      <w:adjustRightInd/>
      <w:snapToGrid/>
      <w:spacing w:before="480" w:line="276" w:lineRule="auto"/>
      <w:outlineLvl w:val="9"/>
    </w:pPr>
    <w:rPr>
      <w:rFonts w:ascii="Cambria" w:hAnsi="Cambria" w:eastAsia="宋体" w:cs="Times New Roman"/>
      <w:bCs w:val="0"/>
      <w:color w:val="365F91"/>
      <w:kern w:val="0"/>
      <w:sz w:val="28"/>
      <w:szCs w:val="28"/>
      <w:lang w:val="zh-CN"/>
    </w:rPr>
  </w:style>
  <w:style w:type="character" w:customStyle="1" w:styleId="142">
    <w:name w:val="副标题 Char1"/>
    <w:qFormat/>
    <w:uiPriority w:val="0"/>
    <w:rPr>
      <w:rFonts w:ascii="Cambria" w:hAnsi="Cambria" w:cs="Times New Roman"/>
      <w:b/>
      <w:bCs/>
      <w:kern w:val="28"/>
      <w:sz w:val="32"/>
      <w:szCs w:val="32"/>
    </w:rPr>
  </w:style>
  <w:style w:type="character" w:customStyle="1" w:styleId="143">
    <w:name w:val="批注文字 Char1"/>
    <w:qFormat/>
    <w:uiPriority w:val="0"/>
    <w:rPr>
      <w:kern w:val="2"/>
      <w:sz w:val="21"/>
      <w:szCs w:val="24"/>
    </w:rPr>
  </w:style>
  <w:style w:type="character" w:customStyle="1" w:styleId="144">
    <w:name w:val="尾注文本 Char1"/>
    <w:qFormat/>
    <w:uiPriority w:val="0"/>
    <w:rPr>
      <w:kern w:val="2"/>
      <w:sz w:val="21"/>
      <w:szCs w:val="24"/>
    </w:rPr>
  </w:style>
  <w:style w:type="character" w:customStyle="1" w:styleId="145">
    <w:name w:val="批注主题 Char1"/>
    <w:qFormat/>
    <w:uiPriority w:val="0"/>
    <w:rPr>
      <w:b/>
      <w:bCs/>
      <w:kern w:val="2"/>
      <w:sz w:val="21"/>
      <w:szCs w:val="24"/>
    </w:rPr>
  </w:style>
  <w:style w:type="character" w:customStyle="1" w:styleId="146">
    <w:name w:val="文档结构图 Char1"/>
    <w:qFormat/>
    <w:uiPriority w:val="0"/>
    <w:rPr>
      <w:rFonts w:ascii="宋体"/>
      <w:kern w:val="2"/>
      <w:sz w:val="18"/>
      <w:szCs w:val="18"/>
    </w:rPr>
  </w:style>
  <w:style w:type="paragraph" w:customStyle="1" w:styleId="147">
    <w:name w:val="彩色底纹 - 强调文字颜色 11"/>
    <w:qFormat/>
    <w:uiPriority w:val="71"/>
    <w:rPr>
      <w:rFonts w:ascii="Times New Roman" w:hAnsi="Times New Roman" w:eastAsia="黑体" w:cs="Times New Roman"/>
      <w:kern w:val="2"/>
      <w:sz w:val="28"/>
      <w:szCs w:val="24"/>
      <w:lang w:val="en-US" w:eastAsia="zh-CN" w:bidi="ar-SA"/>
    </w:rPr>
  </w:style>
  <w:style w:type="paragraph" w:customStyle="1" w:styleId="148">
    <w:name w:val="彩色列表 - 强调文字颜色 11"/>
    <w:basedOn w:val="1"/>
    <w:qFormat/>
    <w:uiPriority w:val="0"/>
    <w:pPr>
      <w:adjustRightInd/>
      <w:snapToGrid/>
      <w:ind w:firstLine="420"/>
    </w:pPr>
    <w:rPr>
      <w:rFonts w:ascii="Times New Roman" w:hAnsi="Times New Roman" w:eastAsia="宋体" w:cs="Times New Roman"/>
      <w:sz w:val="30"/>
    </w:rPr>
  </w:style>
  <w:style w:type="paragraph" w:customStyle="1" w:styleId="149">
    <w:name w:val="中等深浅网格 2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50">
    <w:name w:val="HTML 预设格式 字符"/>
    <w:basedOn w:val="34"/>
    <w:semiHidden/>
    <w:qFormat/>
    <w:uiPriority w:val="99"/>
    <w:rPr>
      <w:rFonts w:ascii="Courier New" w:hAnsi="Courier New" w:eastAsia="仿宋" w:cs="Courier New"/>
      <w:sz w:val="20"/>
      <w:szCs w:val="20"/>
    </w:rPr>
  </w:style>
  <w:style w:type="character" w:customStyle="1" w:styleId="151">
    <w:name w:val="HTML 预设格式 Char2"/>
    <w:link w:val="27"/>
    <w:qFormat/>
    <w:uiPriority w:val="99"/>
    <w:rPr>
      <w:rFonts w:ascii="宋体" w:hAnsi="宋体" w:eastAsia="宋体" w:cs="Times New Roman"/>
      <w:kern w:val="0"/>
      <w:sz w:val="24"/>
      <w:szCs w:val="24"/>
      <w:lang w:val="zh-CN" w:eastAsia="zh-CN"/>
    </w:rPr>
  </w:style>
  <w:style w:type="character" w:customStyle="1" w:styleId="152">
    <w:name w:val="标题 字符"/>
    <w:basedOn w:val="34"/>
    <w:qFormat/>
    <w:uiPriority w:val="10"/>
    <w:rPr>
      <w:rFonts w:asciiTheme="majorHAnsi" w:hAnsiTheme="majorHAnsi" w:eastAsiaTheme="majorEastAsia" w:cstheme="majorBidi"/>
      <w:b/>
      <w:bCs/>
      <w:sz w:val="32"/>
      <w:szCs w:val="32"/>
    </w:rPr>
  </w:style>
  <w:style w:type="character" w:customStyle="1" w:styleId="153">
    <w:name w:val="标题 Char1"/>
    <w:link w:val="29"/>
    <w:qFormat/>
    <w:uiPriority w:val="10"/>
    <w:rPr>
      <w:rFonts w:ascii="Calibri Light" w:hAnsi="Calibri Light" w:eastAsia="宋体" w:cs="Times New Roman"/>
      <w:b/>
      <w:bCs/>
      <w:sz w:val="32"/>
      <w:szCs w:val="32"/>
      <w:lang w:val="zh-CN" w:eastAsia="zh-CN"/>
    </w:rPr>
  </w:style>
  <w:style w:type="paragraph" w:customStyle="1" w:styleId="154">
    <w:name w:val="样式 首行缩进:  2 字符 行距: 固定值 20 磅"/>
    <w:basedOn w:val="1"/>
    <w:qFormat/>
    <w:uiPriority w:val="0"/>
    <w:pPr>
      <w:adjustRightInd/>
      <w:snapToGrid/>
      <w:ind w:firstLine="0" w:firstLineChars="0"/>
    </w:pPr>
    <w:rPr>
      <w:rFonts w:ascii="Times New Roman" w:hAnsi="Times New Roman" w:eastAsia="宋体"/>
      <w:sz w:val="21"/>
    </w:rPr>
  </w:style>
  <w:style w:type="character" w:customStyle="1" w:styleId="155">
    <w:name w:val="high-light-bg4"/>
    <w:qFormat/>
    <w:uiPriority w:val="0"/>
  </w:style>
  <w:style w:type="table" w:customStyle="1" w:styleId="156">
    <w:name w:val="网格型浅色1"/>
    <w:basedOn w:val="31"/>
    <w:qFormat/>
    <w:uiPriority w:val="40"/>
    <w:tblPr>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
  </w:style>
  <w:style w:type="paragraph" w:customStyle="1" w:styleId="157">
    <w:name w:val="修订1"/>
    <w:hidden/>
    <w:semiHidden/>
    <w:qFormat/>
    <w:uiPriority w:val="99"/>
    <w:rPr>
      <w:rFonts w:ascii="Times New Roman" w:hAnsi="Times New Roman" w:eastAsia="宋体" w:cs="Times New Roman"/>
      <w:kern w:val="2"/>
      <w:sz w:val="21"/>
      <w:szCs w:val="24"/>
      <w:lang w:val="en-US" w:eastAsia="zh-CN" w:bidi="ar-SA"/>
    </w:rPr>
  </w:style>
  <w:style w:type="character" w:customStyle="1" w:styleId="158">
    <w:name w:val="纯文本 Char2"/>
    <w:semiHidden/>
    <w:qFormat/>
    <w:uiPriority w:val="99"/>
    <w:rPr>
      <w:rFonts w:ascii="宋体" w:hAnsi="Courier New" w:eastAsia="宋体" w:cs="Courier New"/>
      <w:szCs w:val="21"/>
    </w:rPr>
  </w:style>
  <w:style w:type="character" w:customStyle="1" w:styleId="159">
    <w:name w:val="页脚 Char1"/>
    <w:semiHidden/>
    <w:qFormat/>
    <w:uiPriority w:val="99"/>
    <w:rPr>
      <w:rFonts w:ascii="Times New Roman" w:hAnsi="Times New Roman" w:eastAsia="宋体" w:cs="Times New Roman"/>
      <w:sz w:val="18"/>
      <w:szCs w:val="18"/>
    </w:rPr>
  </w:style>
  <w:style w:type="character" w:customStyle="1" w:styleId="160">
    <w:name w:val="正文文本缩进 Char1"/>
    <w:semiHidden/>
    <w:qFormat/>
    <w:uiPriority w:val="99"/>
    <w:rPr>
      <w:rFonts w:ascii="Times New Roman" w:hAnsi="Times New Roman" w:eastAsia="宋体" w:cs="Times New Roman"/>
      <w:sz w:val="28"/>
      <w:szCs w:val="24"/>
    </w:rPr>
  </w:style>
  <w:style w:type="character" w:customStyle="1" w:styleId="161">
    <w:name w:val="批注框文本 Char1"/>
    <w:semiHidden/>
    <w:qFormat/>
    <w:uiPriority w:val="99"/>
    <w:rPr>
      <w:rFonts w:ascii="Times New Roman" w:hAnsi="Times New Roman" w:eastAsia="宋体" w:cs="Times New Roman"/>
      <w:sz w:val="18"/>
      <w:szCs w:val="18"/>
    </w:rPr>
  </w:style>
  <w:style w:type="character" w:customStyle="1" w:styleId="162">
    <w:name w:val="页眉 Char1"/>
    <w:semiHidden/>
    <w:qFormat/>
    <w:uiPriority w:val="99"/>
    <w:rPr>
      <w:rFonts w:ascii="Times New Roman" w:hAnsi="Times New Roman" w:eastAsia="宋体" w:cs="Times New Roman"/>
      <w:sz w:val="18"/>
      <w:szCs w:val="18"/>
    </w:rPr>
  </w:style>
  <w:style w:type="character" w:customStyle="1" w:styleId="163">
    <w:name w:val="日期 Char1"/>
    <w:semiHidden/>
    <w:qFormat/>
    <w:uiPriority w:val="99"/>
    <w:rPr>
      <w:rFonts w:ascii="Times New Roman" w:hAnsi="Times New Roman" w:eastAsia="宋体" w:cs="Times New Roman"/>
      <w:sz w:val="28"/>
      <w:szCs w:val="24"/>
    </w:rPr>
  </w:style>
  <w:style w:type="paragraph" w:customStyle="1" w:styleId="164">
    <w:name w:val="列出段落2"/>
    <w:basedOn w:val="1"/>
    <w:qFormat/>
    <w:uiPriority w:val="0"/>
    <w:pPr>
      <w:adjustRightInd/>
      <w:snapToGrid/>
      <w:ind w:firstLine="420"/>
    </w:pPr>
    <w:rPr>
      <w:rFonts w:ascii="Times New Roman" w:hAnsi="Times New Roman" w:eastAsia="宋体" w:cs="Times New Roman"/>
      <w:sz w:val="28"/>
    </w:rPr>
  </w:style>
  <w:style w:type="character" w:customStyle="1" w:styleId="165">
    <w:name w:val="HTML 预设格式 Char1"/>
    <w:qFormat/>
    <w:uiPriority w:val="0"/>
    <w:rPr>
      <w:rFonts w:ascii="Courier New" w:hAnsi="Courier New" w:cs="Courier New"/>
      <w:kern w:val="2"/>
    </w:rPr>
  </w:style>
  <w:style w:type="table" w:customStyle="1" w:styleId="166">
    <w:name w:val="无格式表格 11"/>
    <w:basedOn w:val="31"/>
    <w:qFormat/>
    <w:uiPriority w:val="41"/>
    <w:tblPr>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
    <w:tblStylePr w:type="firstRow">
      <w:rPr>
        <w:b/>
        <w:bCs/>
      </w:rPr>
    </w:tblStylePr>
    <w:tblStylePr w:type="lastRow">
      <w:rPr>
        <w:b/>
        <w:bCs/>
      </w:rPr>
      <w:tcPr>
        <w:tcBorders>
          <w:top w:val="double" w:color="BFBFBF" w:sz="4" w:space="0"/>
        </w:tcBorders>
      </w:tcPr>
    </w:tblStylePr>
    <w:tblStylePr w:type="firstCol">
      <w:rPr>
        <w:b/>
        <w:bCs/>
      </w:rPr>
    </w:tblStylePr>
    <w:tblStylePr w:type="lastCol">
      <w:rPr>
        <w:b/>
        <w:bCs/>
      </w:rPr>
    </w:tblStylePr>
    <w:tblStylePr w:type="band1Vert">
      <w:tcPr>
        <w:shd w:val="clear" w:color="auto" w:fill="F2F2F2"/>
      </w:tcPr>
    </w:tblStylePr>
    <w:tblStylePr w:type="band1Horz">
      <w:tcPr>
        <w:shd w:val="clear" w:color="auto" w:fill="F2F2F2"/>
      </w:tcPr>
    </w:tblStylePr>
  </w:style>
  <w:style w:type="paragraph" w:customStyle="1" w:styleId="167">
    <w:name w:val="列出段落3"/>
    <w:basedOn w:val="1"/>
    <w:qFormat/>
    <w:uiPriority w:val="0"/>
    <w:pPr>
      <w:adjustRightInd/>
      <w:snapToGrid/>
      <w:ind w:firstLine="420"/>
    </w:pPr>
    <w:rPr>
      <w:rFonts w:ascii="Times New Roman" w:hAnsi="Times New Roman" w:eastAsia="宋体" w:cs="Times New Roman"/>
      <w:sz w:val="28"/>
    </w:rPr>
  </w:style>
  <w:style w:type="character" w:customStyle="1" w:styleId="168">
    <w:name w:val="题注 Char1"/>
    <w:link w:val="12"/>
    <w:qFormat/>
    <w:uiPriority w:val="35"/>
    <w:rPr>
      <w:rFonts w:ascii="Arial" w:hAnsi="Arial" w:eastAsia="仿宋" w:cs="宋体"/>
      <w:szCs w:val="21"/>
    </w:rPr>
  </w:style>
  <w:style w:type="paragraph" w:customStyle="1" w:styleId="169">
    <w:name w:val="_Style 167"/>
    <w:basedOn w:val="1"/>
    <w:next w:val="1"/>
    <w:qFormat/>
    <w:uiPriority w:val="0"/>
    <w:pPr>
      <w:adjustRightInd/>
      <w:snapToGrid/>
      <w:ind w:left="420" w:leftChars="200" w:firstLine="0" w:firstLineChars="0"/>
    </w:pPr>
    <w:rPr>
      <w:rFonts w:ascii="Times New Roman" w:hAnsi="Times New Roman" w:eastAsia="宋体" w:cs="Times New Roman"/>
      <w:sz w:val="30"/>
    </w:rPr>
  </w:style>
  <w:style w:type="character" w:customStyle="1" w:styleId="170">
    <w:name w:val="题注 Char"/>
    <w:qFormat/>
    <w:uiPriority w:val="35"/>
    <w:rPr>
      <w:rFonts w:ascii="Cambria" w:hAnsi="Cambria" w:eastAsia="黑体"/>
      <w:kern w:val="2"/>
    </w:rPr>
  </w:style>
  <w:style w:type="character" w:customStyle="1" w:styleId="171">
    <w:name w:val="文档结构图 Char"/>
    <w:qFormat/>
    <w:locked/>
    <w:uiPriority w:val="0"/>
    <w:rPr>
      <w:rFonts w:ascii="宋体"/>
      <w:kern w:val="2"/>
      <w:sz w:val="18"/>
    </w:rPr>
  </w:style>
  <w:style w:type="character" w:customStyle="1" w:styleId="172">
    <w:name w:val="尾注文本 Char"/>
    <w:qFormat/>
    <w:locked/>
    <w:uiPriority w:val="0"/>
    <w:rPr>
      <w:rFonts w:ascii="Calibri" w:hAnsi="Calibri"/>
      <w:kern w:val="2"/>
      <w:sz w:val="22"/>
    </w:rPr>
  </w:style>
  <w:style w:type="character" w:customStyle="1" w:styleId="173">
    <w:name w:val="HTML 预设格式 Char"/>
    <w:qFormat/>
    <w:uiPriority w:val="99"/>
    <w:rPr>
      <w:rFonts w:ascii="宋体" w:hAnsi="宋体"/>
      <w:sz w:val="24"/>
      <w:szCs w:val="24"/>
    </w:rPr>
  </w:style>
  <w:style w:type="character" w:customStyle="1" w:styleId="174">
    <w:name w:val="标题 Char"/>
    <w:qFormat/>
    <w:uiPriority w:val="10"/>
    <w:rPr>
      <w:rFonts w:ascii="Calibri Light" w:hAnsi="Calibri Light"/>
      <w:b/>
      <w:bCs/>
      <w:kern w:val="2"/>
      <w:sz w:val="32"/>
      <w:szCs w:val="32"/>
    </w:rPr>
  </w:style>
  <w:style w:type="character" w:customStyle="1" w:styleId="175">
    <w:name w:val="副标题 Char"/>
    <w:qFormat/>
    <w:locked/>
    <w:uiPriority w:val="11"/>
    <w:rPr>
      <w:rFonts w:ascii="Cambria" w:hAnsi="Cambria"/>
      <w:kern w:val="28"/>
      <w:sz w:val="32"/>
    </w:rPr>
  </w:style>
  <w:style w:type="character" w:customStyle="1" w:styleId="176">
    <w:name w:val="纯文本 Char"/>
    <w:qFormat/>
    <w:uiPriority w:val="0"/>
    <w:rPr>
      <w:rFonts w:ascii="宋体" w:hAnsi="Courier New"/>
      <w:kern w:val="2"/>
      <w:sz w:val="21"/>
      <w:szCs w:val="21"/>
    </w:rPr>
  </w:style>
  <w:style w:type="character" w:customStyle="1" w:styleId="177">
    <w:name w:val="正文文本缩进 Char"/>
    <w:qFormat/>
    <w:uiPriority w:val="0"/>
    <w:rPr>
      <w:rFonts w:ascii="仿宋_GB2312" w:hAnsi="宋体" w:eastAsia="仿宋_GB2312"/>
      <w:kern w:val="2"/>
      <w:sz w:val="28"/>
      <w:szCs w:val="24"/>
    </w:rPr>
  </w:style>
  <w:style w:type="character" w:customStyle="1" w:styleId="178">
    <w:name w:val="日期 Char"/>
    <w:qFormat/>
    <w:locked/>
    <w:uiPriority w:val="0"/>
    <w:rPr>
      <w:kern w:val="2"/>
      <w:sz w:val="21"/>
      <w:szCs w:val="24"/>
    </w:rPr>
  </w:style>
  <w:style w:type="paragraph" w:customStyle="1" w:styleId="179">
    <w:name w:val="_Style 177"/>
    <w:basedOn w:val="1"/>
    <w:next w:val="59"/>
    <w:qFormat/>
    <w:uiPriority w:val="34"/>
    <w:pPr>
      <w:adjustRightInd/>
      <w:snapToGrid/>
      <w:spacing w:line="240" w:lineRule="auto"/>
      <w:ind w:firstLine="420"/>
      <w:jc w:val="left"/>
    </w:pPr>
    <w:rPr>
      <w:rFonts w:ascii="Calibri" w:hAnsi="Calibri" w:eastAsia="宋体" w:cs="Times New Roman"/>
      <w:sz w:val="21"/>
      <w:szCs w:val="22"/>
    </w:rPr>
  </w:style>
  <w:style w:type="paragraph" w:customStyle="1" w:styleId="180">
    <w:name w:val="List Paragraph1"/>
    <w:basedOn w:val="1"/>
    <w:qFormat/>
    <w:uiPriority w:val="0"/>
    <w:pPr>
      <w:adjustRightInd/>
      <w:snapToGrid/>
      <w:ind w:firstLine="420"/>
      <w:jc w:val="left"/>
    </w:pPr>
    <w:rPr>
      <w:rFonts w:ascii="Times New Roman" w:hAnsi="Times New Roman" w:eastAsia="宋体" w:cs="Times New Roman"/>
      <w:sz w:val="30"/>
    </w:rPr>
  </w:style>
  <w:style w:type="paragraph" w:customStyle="1" w:styleId="181">
    <w:name w:val="List Paragraph_8f0e46ee-48e4-4ce2-882b-03875cced5e6"/>
    <w:basedOn w:val="1"/>
    <w:qFormat/>
    <w:uiPriority w:val="34"/>
    <w:pPr>
      <w:adjustRightInd/>
      <w:snapToGrid/>
      <w:spacing w:line="240" w:lineRule="auto"/>
      <w:ind w:firstLine="420"/>
      <w:jc w:val="left"/>
    </w:pPr>
    <w:rPr>
      <w:rFonts w:ascii="Times New Roman" w:hAnsi="Times New Roman" w:eastAsia="宋体" w:cs="Times New Roman"/>
      <w:sz w:val="21"/>
    </w:rPr>
  </w:style>
  <w:style w:type="table" w:customStyle="1" w:styleId="182">
    <w:name w:val="网格型1"/>
    <w:basedOn w:val="31"/>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83">
    <w:name w:val="页脚 字符"/>
    <w:qFormat/>
    <w:uiPriority w:val="99"/>
    <w:rPr>
      <w:sz w:val="18"/>
      <w:szCs w:val="18"/>
    </w:rPr>
  </w:style>
  <w:style w:type="table" w:customStyle="1" w:styleId="184">
    <w:name w:val="网格型浅色2"/>
    <w:basedOn w:val="31"/>
    <w:qFormat/>
    <w:uiPriority w:val="40"/>
    <w:tblPr>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
  </w:style>
  <w:style w:type="paragraph" w:customStyle="1" w:styleId="185">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186">
    <w:name w:val="标题 2 字符"/>
    <w:qFormat/>
    <w:uiPriority w:val="0"/>
    <w:rPr>
      <w:rFonts w:ascii="Arial" w:hAnsi="Arial" w:eastAsia="黑体"/>
      <w:b/>
      <w:bCs/>
      <w:kern w:val="2"/>
      <w:sz w:val="32"/>
      <w:szCs w:val="32"/>
    </w:rPr>
  </w:style>
  <w:style w:type="table" w:customStyle="1" w:styleId="187">
    <w:name w:val="无格式表格 12"/>
    <w:basedOn w:val="31"/>
    <w:qFormat/>
    <w:uiPriority w:val="41"/>
    <w:tblPr>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
    <w:tblStylePr w:type="firstRow">
      <w:rPr>
        <w:b/>
        <w:bCs/>
      </w:rPr>
    </w:tblStylePr>
    <w:tblStylePr w:type="lastRow">
      <w:rPr>
        <w:b/>
        <w:bCs/>
      </w:rPr>
      <w:tcPr>
        <w:tcBorders>
          <w:top w:val="double" w:color="BFBFBF" w:sz="4" w:space="0"/>
        </w:tcBorders>
      </w:tcPr>
    </w:tblStylePr>
    <w:tblStylePr w:type="firstCol">
      <w:rPr>
        <w:b/>
        <w:bCs/>
      </w:rPr>
    </w:tblStylePr>
    <w:tblStylePr w:type="lastCol">
      <w:rPr>
        <w:b/>
        <w:bCs/>
      </w:rPr>
    </w:tblStylePr>
    <w:tblStylePr w:type="band1Vert">
      <w:tcPr>
        <w:shd w:val="clear" w:color="auto" w:fill="F2F2F2"/>
      </w:tcPr>
    </w:tblStylePr>
    <w:tblStylePr w:type="band1Horz">
      <w:tcPr>
        <w:shd w:val="clear" w:color="auto" w:fill="F2F2F2"/>
      </w:tcPr>
    </w:tblStylePr>
  </w:style>
  <w:style w:type="table" w:customStyle="1" w:styleId="188">
    <w:name w:val="网格型 11"/>
    <w:basedOn w:val="31"/>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paragraph" w:customStyle="1" w:styleId="189">
    <w:name w:val="列出段落4"/>
    <w:basedOn w:val="1"/>
    <w:qFormat/>
    <w:uiPriority w:val="0"/>
    <w:pPr>
      <w:adjustRightInd/>
      <w:snapToGrid/>
      <w:ind w:firstLine="420"/>
    </w:pPr>
    <w:rPr>
      <w:rFonts w:ascii="Times New Roman" w:hAnsi="Times New Roman" w:eastAsia="宋体" w:cs="Times New Roman"/>
      <w:sz w:val="28"/>
    </w:rPr>
  </w:style>
  <w:style w:type="paragraph" w:customStyle="1" w:styleId="190">
    <w:name w:val="TOC 标题2"/>
    <w:basedOn w:val="3"/>
    <w:next w:val="1"/>
    <w:unhideWhenUsed/>
    <w:qFormat/>
    <w:uiPriority w:val="39"/>
    <w:pPr>
      <w:widowControl/>
      <w:numPr>
        <w:numId w:val="0"/>
      </w:numPr>
      <w:adjustRightInd/>
      <w:snapToGrid/>
      <w:spacing w:before="240" w:line="259" w:lineRule="auto"/>
      <w:outlineLvl w:val="9"/>
    </w:pPr>
    <w:rPr>
      <w:rFonts w:asciiTheme="majorHAnsi" w:hAnsiTheme="majorHAnsi" w:eastAsiaTheme="majorEastAsia" w:cstheme="majorBidi"/>
      <w:b w:val="0"/>
      <w:bCs w:val="0"/>
      <w:color w:val="2E75B6" w:themeColor="accent1" w:themeShade="BF"/>
      <w:kern w:val="0"/>
      <w:sz w:val="32"/>
      <w:szCs w:val="32"/>
    </w:rPr>
  </w:style>
  <w:style w:type="table" w:customStyle="1" w:styleId="191">
    <w:name w:val="网格型2"/>
    <w:basedOn w:val="31"/>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92">
    <w:name w:val="网格型 12"/>
    <w:basedOn w:val="31"/>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paragraph" w:customStyle="1" w:styleId="193">
    <w:name w:val="List Paragraph2"/>
    <w:basedOn w:val="1"/>
    <w:qFormat/>
    <w:uiPriority w:val="0"/>
    <w:pPr>
      <w:adjustRightInd/>
      <w:snapToGrid/>
      <w:ind w:firstLine="420"/>
    </w:pPr>
    <w:rPr>
      <w:rFonts w:ascii="Times New Roman" w:hAnsi="Times New Roman" w:eastAsia="宋体" w:cs="Times New Roman"/>
      <w:sz w:val="28"/>
    </w:rPr>
  </w:style>
  <w:style w:type="table" w:customStyle="1" w:styleId="194">
    <w:name w:val="网格型3"/>
    <w:basedOn w:val="31"/>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95">
    <w:name w:val="网格型 13"/>
    <w:basedOn w:val="31"/>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lastRow">
      <w:rPr>
        <w:i/>
        <w:iCs/>
      </w:rPr>
      <w:tcPr>
        <w:tcBorders>
          <w:tl2br w:val="nil"/>
          <w:tr2bl w:val="nil"/>
        </w:tcBorders>
      </w:tcPr>
    </w:tblStylePr>
    <w:tblStylePr w:type="lastCol">
      <w:rPr>
        <w:i/>
        <w:iCs/>
      </w:rPr>
      <w:tcPr>
        <w:tcBorders>
          <w:tl2br w:val="nil"/>
          <w:tr2bl w:val="nil"/>
        </w:tcBorders>
      </w:tcPr>
    </w:tblStylePr>
    <w:tblStylePr w:type="nwCell">
      <w:tcPr>
        <w:tcBorders>
          <w:tl2br w:val="single" w:color="000000" w:sz="6" w:space="0"/>
          <w:tr2bl w:val="nil"/>
        </w:tcBorders>
      </w:tcPr>
    </w:tblStylePr>
  </w:style>
  <w:style w:type="character" w:customStyle="1" w:styleId="196">
    <w:name w:val="Editable"/>
    <w:basedOn w:val="34"/>
    <w:qFormat/>
    <w:uiPriority w:val="1"/>
    <w:rPr>
      <w:color w:val="62B5E5"/>
    </w:rPr>
  </w:style>
  <w:style w:type="table" w:customStyle="1" w:styleId="197">
    <w:name w:val="网格型4"/>
    <w:basedOn w:val="31"/>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table" w:customStyle="1" w:styleId="198">
    <w:name w:val="网格型5"/>
    <w:basedOn w:val="31"/>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99">
    <w:name w:val="段"/>
    <w:next w:val="1"/>
    <w:qFormat/>
    <w:uiPriority w:val="0"/>
    <w:pPr>
      <w:ind w:firstLine="200" w:firstLineChars="200"/>
    </w:pPr>
    <w:rPr>
      <w:rFonts w:ascii="宋体" w:hAnsi="等线" w:eastAsia="等线" w:cs="Times New Roman"/>
      <w:sz w:val="28"/>
      <w:szCs w:val="28"/>
      <w:lang w:val="en-US" w:eastAsia="zh-CN" w:bidi="ar-SA"/>
    </w:rPr>
  </w:style>
  <w:style w:type="character" w:customStyle="1" w:styleId="200">
    <w:name w:val="font31"/>
    <w:qFormat/>
    <w:uiPriority w:val="0"/>
    <w:rPr>
      <w:rFonts w:hint="eastAsia" w:ascii="微软雅黑" w:hAnsi="微软雅黑" w:eastAsia="微软雅黑" w:cs="微软雅黑"/>
      <w:b/>
      <w:color w:val="000000"/>
      <w:sz w:val="20"/>
      <w:szCs w:val="20"/>
      <w:u w:val="none"/>
    </w:rPr>
  </w:style>
  <w:style w:type="paragraph" w:customStyle="1" w:styleId="201">
    <w:name w:val="石墨文档正文"/>
    <w:qFormat/>
    <w:uiPriority w:val="0"/>
    <w:rPr>
      <w:rFonts w:ascii="微软雅黑" w:hAnsi="微软雅黑" w:eastAsia="微软雅黑" w:cs="微软雅黑"/>
      <w:sz w:val="22"/>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8" Type="http://schemas.openxmlformats.org/officeDocument/2006/relationships/fontTable" Target="fontTable.xml"/><Relationship Id="rId27" Type="http://schemas.openxmlformats.org/officeDocument/2006/relationships/customXml" Target="../customXml/item1.xml"/><Relationship Id="rId26" Type="http://schemas.openxmlformats.org/officeDocument/2006/relationships/numbering" Target="numbering.xml"/><Relationship Id="rId25" Type="http://schemas.openxmlformats.org/officeDocument/2006/relationships/image" Target="media/image9.png"/><Relationship Id="rId24" Type="http://schemas.openxmlformats.org/officeDocument/2006/relationships/image" Target="media/image8.png"/><Relationship Id="rId23" Type="http://schemas.openxmlformats.org/officeDocument/2006/relationships/image" Target="media/image7.png"/><Relationship Id="rId22" Type="http://schemas.openxmlformats.org/officeDocument/2006/relationships/image" Target="media/image6.png"/><Relationship Id="rId21" Type="http://schemas.openxmlformats.org/officeDocument/2006/relationships/image" Target="media/image5.png"/><Relationship Id="rId20" Type="http://schemas.openxmlformats.org/officeDocument/2006/relationships/image" Target="media/image4.png"/><Relationship Id="rId2" Type="http://schemas.openxmlformats.org/officeDocument/2006/relationships/settings" Target="settings.xml"/><Relationship Id="rId19" Type="http://schemas.openxmlformats.org/officeDocument/2006/relationships/image" Target="media/image3.png"/><Relationship Id="rId18" Type="http://schemas.openxmlformats.org/officeDocument/2006/relationships/image" Target="media/image2.png"/><Relationship Id="rId17" Type="http://schemas.openxmlformats.org/officeDocument/2006/relationships/image" Target="media/image1.png"/><Relationship Id="rId16" Type="http://schemas.openxmlformats.org/officeDocument/2006/relationships/theme" Target="theme/theme1.xml"/><Relationship Id="rId15" Type="http://schemas.openxmlformats.org/officeDocument/2006/relationships/footer" Target="footer5.xml"/><Relationship Id="rId14" Type="http://schemas.openxmlformats.org/officeDocument/2006/relationships/footer" Target="footer4.xml"/><Relationship Id="rId13" Type="http://schemas.openxmlformats.org/officeDocument/2006/relationships/header" Target="header6.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A71896-E89A-4752-9AD0-2AF9BB5D5F03}">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71</Pages>
  <Words>5605</Words>
  <Characters>31949</Characters>
  <Lines>266</Lines>
  <Paragraphs>74</Paragraphs>
  <TotalTime>6</TotalTime>
  <ScaleCrop>false</ScaleCrop>
  <LinksUpToDate>false</LinksUpToDate>
  <CharactersWithSpaces>37480</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2023-09-06T03:25:00Z</dcterms:created>
  <dc:creator>Administrator</dc:creator>
  <cp:lastModifiedBy>Administrator</cp:lastModifiedBy>
  <cp:lastPrinted>2023-09-06T08:56:56Z</cp:lastPrinted>
  <dcterms:modified xsi:type="dcterms:W3CDTF">2023-09-06T08:59:40Z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21940E756EBA4104B91FD28EDD57CAA8</vt:lpwstr>
  </property>
</Properties>
</file>