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autoSpaceDE/>
        <w:autoSpaceDN w:val="0"/>
        <w:snapToGrid/>
        <w:spacing w:before="0" w:beforeAutospacing="0" w:after="0" w:afterAutospacing="0" w:line="540" w:lineRule="exact"/>
        <w:ind w:left="-140" w:leftChars="-67" w:right="-57" w:rightChars="-27" w:hanging="1"/>
        <w:jc w:val="left"/>
        <w:rPr>
          <w:rFonts w:hint="eastAsia" w:ascii="方正黑体_GBK" w:hAnsi="仿宋" w:eastAsia="方正黑体_GBK" w:cs="方正黑体_GBK"/>
          <w:szCs w:val="32"/>
          <w:lang w:val="en-US"/>
        </w:rPr>
      </w:pPr>
      <w:r>
        <w:rPr>
          <w:rFonts w:hint="eastAsia" w:ascii="方正黑体_GBK" w:hAnsi="仿宋" w:eastAsia="方正黑体_GBK" w:cs="方正黑体_GBK"/>
          <w:snapToGrid/>
          <w:kern w:val="0"/>
          <w:sz w:val="32"/>
          <w:szCs w:val="32"/>
          <w:lang w:val="en-US" w:eastAsia="zh-CN" w:bidi="ar"/>
        </w:rPr>
        <w:t>附件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40" w:lineRule="exact"/>
        <w:ind w:left="-211" w:right="0" w:firstLine="0"/>
        <w:jc w:val="center"/>
        <w:rPr>
          <w:b/>
          <w:bCs w:val="0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b/>
          <w:bCs w:val="0"/>
          <w:snapToGrid/>
          <w:kern w:val="0"/>
          <w:sz w:val="32"/>
          <w:szCs w:val="32"/>
          <w:lang w:val="en-US" w:eastAsia="zh-CN" w:bidi="ar"/>
        </w:rPr>
        <w:t>苏锡常南部高速公路通行费车型划分及收费标准</w:t>
      </w:r>
    </w:p>
    <w:tbl>
      <w:tblPr>
        <w:tblStyle w:val="2"/>
        <w:tblW w:w="5144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9"/>
        <w:gridCol w:w="3481"/>
        <w:gridCol w:w="360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atLeast"/>
        </w:trPr>
        <w:tc>
          <w:tcPr>
            <w:tcW w:w="1113" w:type="pc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hint="eastAsia" w:ascii="仿宋" w:hAnsi="仿宋" w:eastAsia="方正仿宋_GBK" w:cs="仿宋"/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类别</w:t>
            </w:r>
          </w:p>
        </w:tc>
        <w:tc>
          <w:tcPr>
            <w:tcW w:w="1910" w:type="pc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hint="eastAsia" w:ascii="仿宋" w:hAnsi="仿宋" w:eastAsia="方正仿宋_GBK" w:cs="仿宋"/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客车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hint="eastAsia" w:ascii="仿宋" w:hAnsi="仿宋" w:eastAsia="方正仿宋_GBK" w:cs="仿宋"/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（元</w:t>
            </w:r>
            <w:r>
              <w:rPr>
                <w:rFonts w:hint="eastAsia" w:ascii="仿宋" w:hAnsi="仿宋" w:eastAsia="方正仿宋_GBK" w:cs="仿宋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/</w:t>
            </w: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车公里）</w:t>
            </w:r>
          </w:p>
        </w:tc>
        <w:tc>
          <w:tcPr>
            <w:tcW w:w="1976" w:type="pc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hint="eastAsia" w:ascii="仿宋" w:hAnsi="仿宋" w:eastAsia="方正仿宋_GBK" w:cs="仿宋"/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货车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hint="eastAsia" w:ascii="仿宋" w:hAnsi="仿宋" w:eastAsia="方正仿宋_GBK" w:cs="仿宋"/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（元</w:t>
            </w:r>
            <w:r>
              <w:rPr>
                <w:rFonts w:hint="eastAsia" w:ascii="仿宋" w:hAnsi="仿宋" w:eastAsia="方正仿宋_GBK" w:cs="仿宋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/</w:t>
            </w: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车公里）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Times New Roman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0.55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0.45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Times New Roman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0.825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0.977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3</w:t>
            </w:r>
            <w:r>
              <w:rPr>
                <w:rFonts w:hint="eastAsia" w:ascii="Times New Roman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1.1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1.35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4</w:t>
            </w:r>
            <w:r>
              <w:rPr>
                <w:rFonts w:hint="eastAsia" w:ascii="Times New Roman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1.1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1.805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5</w:t>
            </w:r>
            <w:r>
              <w:rPr>
                <w:rFonts w:hint="eastAsia" w:ascii="Times New Roman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1.843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6</w:t>
            </w:r>
            <w:r>
              <w:rPr>
                <w:rFonts w:hint="eastAsia" w:ascii="Times New Roman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2.20</w:t>
            </w:r>
          </w:p>
        </w:tc>
      </w:tr>
    </w:tbl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40" w:lineRule="exact"/>
        <w:ind w:left="0" w:right="0" w:firstLine="0"/>
        <w:jc w:val="center"/>
        <w:rPr>
          <w:rFonts w:hint="eastAsia" w:ascii="Times New Roman" w:hAnsi="方正仿宋_GBK" w:eastAsia="方正仿宋_GBK" w:cs="方正仿宋_GBK"/>
          <w:b/>
          <w:bCs w:val="0"/>
          <w:snapToGrid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40" w:lineRule="exact"/>
        <w:ind w:left="0" w:right="0" w:firstLine="0"/>
        <w:jc w:val="center"/>
        <w:rPr>
          <w:rFonts w:hint="eastAsia" w:ascii="Times New Roman" w:hAnsi="方正仿宋_GBK" w:eastAsia="方正仿宋_GBK" w:cs="方正仿宋_GBK"/>
          <w:b/>
          <w:bCs w:val="0"/>
          <w:snapToGrid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40" w:lineRule="exact"/>
        <w:ind w:left="0" w:right="0" w:firstLine="0"/>
        <w:jc w:val="center"/>
        <w:rPr>
          <w:b/>
          <w:bCs w:val="0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b/>
          <w:bCs w:val="0"/>
          <w:snapToGrid/>
          <w:kern w:val="0"/>
          <w:sz w:val="32"/>
          <w:szCs w:val="32"/>
          <w:lang w:val="en-US" w:eastAsia="zh-CN" w:bidi="ar"/>
        </w:rPr>
        <w:t>苏锡常南部高速公路太湖隧道通行费车型划分及收费标准</w:t>
      </w:r>
    </w:p>
    <w:tbl>
      <w:tblPr>
        <w:tblStyle w:val="2"/>
        <w:tblW w:w="5144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8"/>
        <w:gridCol w:w="3482"/>
        <w:gridCol w:w="360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atLeast"/>
        </w:trPr>
        <w:tc>
          <w:tcPr>
            <w:tcW w:w="1113" w:type="pc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hint="eastAsia" w:ascii="仿宋" w:hAnsi="仿宋" w:eastAsia="方正仿宋_GBK" w:cs="仿宋"/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类别</w:t>
            </w:r>
          </w:p>
        </w:tc>
        <w:tc>
          <w:tcPr>
            <w:tcW w:w="1911" w:type="pc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hint="eastAsia" w:ascii="仿宋" w:hAnsi="仿宋" w:eastAsia="方正仿宋_GBK" w:cs="仿宋"/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客车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hint="eastAsia" w:ascii="仿宋" w:hAnsi="仿宋" w:eastAsia="方正仿宋_GBK" w:cs="仿宋"/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（元</w:t>
            </w:r>
            <w:r>
              <w:rPr>
                <w:rFonts w:hint="eastAsia" w:ascii="仿宋" w:hAnsi="仿宋" w:eastAsia="方正仿宋_GBK" w:cs="仿宋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/</w:t>
            </w: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车次）</w:t>
            </w:r>
          </w:p>
        </w:tc>
        <w:tc>
          <w:tcPr>
            <w:tcW w:w="1976" w:type="pc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hint="eastAsia" w:ascii="仿宋" w:hAnsi="仿宋" w:eastAsia="方正仿宋_GBK" w:cs="仿宋"/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货车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hint="eastAsia" w:ascii="仿宋" w:hAnsi="仿宋" w:eastAsia="方正仿宋_GBK" w:cs="仿宋"/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（元</w:t>
            </w:r>
            <w:r>
              <w:rPr>
                <w:rFonts w:hint="eastAsia" w:ascii="仿宋" w:hAnsi="仿宋" w:eastAsia="方正仿宋_GBK" w:cs="仿宋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/</w:t>
            </w: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车次）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default" w:ascii="Times New Roman" w:hAnsi="Times New Roman" w:eastAsia="仿宋_GB2312" w:cs="仿宋_GB2312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default" w:ascii="Times New Roman" w:hAnsi="Times New Roman" w:eastAsia="仿宋_GB2312" w:cs="仿宋_GB2312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105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3</w:t>
            </w:r>
            <w:r>
              <w:rPr>
                <w:rFonts w:hint="default" w:ascii="Times New Roman" w:hAnsi="Times New Roman" w:eastAsia="仿宋_GB2312" w:cs="仿宋_GB2312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165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4</w:t>
            </w:r>
            <w:r>
              <w:rPr>
                <w:rFonts w:hint="default" w:ascii="Times New Roman" w:hAnsi="Times New Roman" w:eastAsia="仿宋_GB2312" w:cs="仿宋_GB2312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5</w:t>
            </w:r>
            <w:r>
              <w:rPr>
                <w:rFonts w:hint="default" w:ascii="Times New Roman" w:hAnsi="Times New Roman" w:eastAsia="仿宋_GB2312" w:cs="仿宋_GB2312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210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6</w:t>
            </w:r>
            <w:r>
              <w:rPr>
                <w:rFonts w:hint="default" w:ascii="Times New Roman" w:hAnsi="Times New Roman" w:eastAsia="仿宋_GB2312" w:cs="仿宋_GB2312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240</w:t>
            </w:r>
          </w:p>
        </w:tc>
      </w:tr>
    </w:tbl>
    <w:p>
      <w:r>
        <w:br w:type="page"/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40" w:lineRule="exact"/>
        <w:ind w:left="0" w:right="0" w:firstLine="0"/>
        <w:jc w:val="center"/>
        <w:rPr>
          <w:b/>
          <w:bCs w:val="0"/>
          <w:sz w:val="21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b/>
          <w:bCs w:val="0"/>
          <w:snapToGrid/>
          <w:kern w:val="0"/>
          <w:sz w:val="32"/>
          <w:szCs w:val="32"/>
          <w:lang w:val="en-US" w:eastAsia="zh-CN" w:bidi="ar"/>
        </w:rPr>
        <w:t>苏锡常南部高速公路邀贤山隧道通行费车型划分及收费标准</w:t>
      </w:r>
    </w:p>
    <w:tbl>
      <w:tblPr>
        <w:tblStyle w:val="2"/>
        <w:tblW w:w="5144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8"/>
        <w:gridCol w:w="3482"/>
        <w:gridCol w:w="360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atLeast"/>
        </w:trPr>
        <w:tc>
          <w:tcPr>
            <w:tcW w:w="1113" w:type="pc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hint="eastAsia" w:ascii="仿宋" w:hAnsi="仿宋" w:eastAsia="方正仿宋_GBK" w:cs="仿宋"/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类别</w:t>
            </w:r>
          </w:p>
        </w:tc>
        <w:tc>
          <w:tcPr>
            <w:tcW w:w="1911" w:type="pc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hint="eastAsia" w:ascii="仿宋" w:hAnsi="仿宋" w:eastAsia="方正仿宋_GBK" w:cs="仿宋"/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客车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hint="eastAsia" w:ascii="仿宋" w:hAnsi="仿宋" w:eastAsia="方正仿宋_GBK" w:cs="仿宋"/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（元</w:t>
            </w:r>
            <w:r>
              <w:rPr>
                <w:rFonts w:hint="eastAsia" w:ascii="仿宋" w:hAnsi="仿宋" w:eastAsia="方正仿宋_GBK" w:cs="仿宋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/</w:t>
            </w: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车次）</w:t>
            </w:r>
          </w:p>
        </w:tc>
        <w:tc>
          <w:tcPr>
            <w:tcW w:w="1976" w:type="pc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hint="eastAsia" w:ascii="仿宋" w:hAnsi="仿宋" w:eastAsia="方正仿宋_GBK" w:cs="仿宋"/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货车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hint="eastAsia" w:ascii="仿宋" w:hAnsi="仿宋" w:eastAsia="方正仿宋_GBK" w:cs="仿宋"/>
                <w:color w:val="000000"/>
                <w:kern w:val="2"/>
                <w:sz w:val="28"/>
                <w:szCs w:val="20"/>
                <w:bdr w:val="none" w:color="auto" w:sz="0" w:space="0"/>
                <w:lang w:val="en-US"/>
              </w:rPr>
            </w:pP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（元</w:t>
            </w:r>
            <w:r>
              <w:rPr>
                <w:rFonts w:hint="eastAsia" w:ascii="仿宋" w:hAnsi="仿宋" w:eastAsia="方正仿宋_GBK" w:cs="仿宋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/</w:t>
            </w:r>
            <w:r>
              <w:rPr>
                <w:rFonts w:hint="eastAsia" w:ascii="仿宋" w:hAnsi="仿宋" w:eastAsia="方正仿宋_GBK" w:cs="方正仿宋_GBK"/>
                <w:snapToGrid/>
                <w:color w:val="000000"/>
                <w:kern w:val="2"/>
                <w:sz w:val="28"/>
                <w:szCs w:val="20"/>
                <w:bdr w:val="none" w:color="auto" w:sz="0" w:space="0"/>
                <w:lang w:val="en-US" w:eastAsia="zh-CN" w:bidi="ar"/>
              </w:rPr>
              <w:t>车次）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default" w:ascii="Times New Roman" w:hAnsi="Times New Roman" w:eastAsia="仿宋_GB2312" w:cs="仿宋_GB2312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default" w:ascii="Times New Roman" w:hAnsi="Times New Roman" w:eastAsia="仿宋_GB2312" w:cs="仿宋_GB2312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3</w:t>
            </w:r>
            <w:r>
              <w:rPr>
                <w:rFonts w:hint="default" w:ascii="Times New Roman" w:hAnsi="Times New Roman" w:eastAsia="仿宋_GB2312" w:cs="仿宋_GB2312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4</w:t>
            </w:r>
            <w:r>
              <w:rPr>
                <w:rFonts w:hint="default" w:ascii="Times New Roman" w:hAnsi="Times New Roman" w:eastAsia="仿宋_GB2312" w:cs="仿宋_GB2312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5</w:t>
            </w:r>
            <w:r>
              <w:rPr>
                <w:rFonts w:hint="default" w:ascii="Times New Roman" w:hAnsi="Times New Roman" w:eastAsia="仿宋_GB2312" w:cs="仿宋_GB2312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13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6</w:t>
            </w:r>
            <w:r>
              <w:rPr>
                <w:rFonts w:hint="default" w:ascii="Times New Roman" w:hAnsi="Times New Roman" w:eastAsia="仿宋_GB2312" w:cs="仿宋_GB2312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类</w:t>
            </w:r>
          </w:p>
        </w:tc>
        <w:tc>
          <w:tcPr>
            <w:tcW w:w="191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97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60" w:lineRule="exact"/>
              <w:ind w:left="0" w:right="0" w:firstLine="0"/>
              <w:jc w:val="center"/>
              <w:rPr>
                <w:rFonts w:eastAsia="仿宋_GB2312"/>
                <w:color w:val="000000"/>
                <w:kern w:val="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/>
                <w:kern w:val="2"/>
                <w:sz w:val="32"/>
                <w:szCs w:val="20"/>
                <w:bdr w:val="none" w:color="auto" w:sz="0" w:space="0"/>
                <w:lang w:val="en-US" w:eastAsia="zh-CN" w:bidi="ar"/>
              </w:rPr>
              <w:t>30</w:t>
            </w:r>
          </w:p>
        </w:tc>
      </w:tr>
    </w:tbl>
    <w:p>
      <w:bookmarkStart w:id="0" w:name="_GoBack"/>
      <w:bookmarkEnd w:id="0"/>
    </w:p>
    <w:sectPr>
      <w:pgSz w:w="12240" w:h="15840"/>
      <w:pgMar w:top="1440" w:right="1800" w:bottom="1440" w:left="1800" w:header="720" w:footer="720" w:gutter="0"/>
      <w:paperSrc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Cambria Math">
    <w:panose1 w:val="02040503050406030204"/>
    <w:charset w:val="00"/>
    <w:family w:val="auto"/>
    <w:pitch w:val="variable"/>
    <w:sig w:usb0="E00006FF" w:usb1="420024FF" w:usb2="02000000" w:usb3="00000000" w:csb0="2000019F" w:csb1="00000000"/>
  </w:font>
  <w:font w:name="@方正仿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@仿宋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@方正黑体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972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2022-02-23T10:36:38Z</dcterms:created>
  <dc:creator>caomm</dc:creator>
  <cp:lastModifiedBy>Dame D.O.L.L.A.</cp:lastModifiedBy>
  <dcterms:modified xsi:type="dcterms:W3CDTF">2022-02-23T10:37:54Z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511BAFCF5F8746D298C2FBE32F1166F2</vt:lpwstr>
  </property>
</Properties>
</file>