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90" w:lineRule="exact"/>
        <w:jc w:val="center"/>
        <w:rPr>
          <w:rFonts w:eastAsia="方正小标宋_GBK"/>
          <w:sz w:val="44"/>
          <w:szCs w:val="44"/>
        </w:rPr>
      </w:pPr>
      <w:r>
        <w:rPr>
          <w:rFonts w:hint="eastAsia" w:eastAsia="方正小标宋_GBK"/>
          <w:sz w:val="44"/>
          <w:szCs w:val="44"/>
        </w:rPr>
        <w:t>2024年度江苏港口企业认定办法</w:t>
      </w:r>
    </w:p>
    <w:p>
      <w:pPr>
        <w:adjustRightInd w:val="0"/>
        <w:snapToGrid w:val="0"/>
        <w:spacing w:line="590" w:lineRule="exact"/>
        <w:jc w:val="center"/>
        <w:rPr>
          <w:rFonts w:eastAsia="方正小标宋_GBK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一、认定的条件、类别、数据采集及评分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楷体_GBK"/>
          <w:kern w:val="0"/>
          <w:sz w:val="32"/>
          <w:szCs w:val="32"/>
        </w:rPr>
      </w:pPr>
      <w:r>
        <w:rPr>
          <w:rFonts w:hint="eastAsia" w:eastAsia="方正楷体_GBK"/>
          <w:kern w:val="0"/>
          <w:sz w:val="32"/>
          <w:szCs w:val="32"/>
        </w:rPr>
        <w:t>（一）认定企业的条件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认定对象为江苏省内注册满1年、依法取得港口经营许可证并从事港口运营的港口企业。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参加认定的主体为港口经营许可证中的公司。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楷体_GBK"/>
          <w:kern w:val="0"/>
          <w:sz w:val="32"/>
          <w:szCs w:val="32"/>
        </w:rPr>
      </w:pPr>
      <w:r>
        <w:rPr>
          <w:rFonts w:hint="eastAsia" w:eastAsia="方正楷体_GBK"/>
          <w:kern w:val="0"/>
          <w:sz w:val="32"/>
          <w:szCs w:val="32"/>
        </w:rPr>
        <w:t>（二）认定的类别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根据江苏沿江沿海内河港口实际情况，参加认定的港口企业分为：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主要作业干散货沿江沿海港口企业</w:t>
      </w:r>
      <w:r>
        <w:rPr>
          <w:rFonts w:hint="eastAsia" w:eastAsia="方正仿宋_GBK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主要作业</w:t>
      </w:r>
      <w:r>
        <w:rPr>
          <w:rFonts w:hint="eastAsia" w:eastAsia="方正仿宋_GBK"/>
          <w:sz w:val="32"/>
          <w:szCs w:val="32"/>
          <w:lang w:val="en-US" w:eastAsia="zh-CN"/>
        </w:rPr>
        <w:t>集装箱</w:t>
      </w:r>
      <w:r>
        <w:rPr>
          <w:rFonts w:hint="eastAsia" w:eastAsia="方正仿宋_GBK"/>
          <w:sz w:val="32"/>
          <w:szCs w:val="32"/>
        </w:rPr>
        <w:t>沿江沿海港口企业</w:t>
      </w:r>
      <w:r>
        <w:rPr>
          <w:rFonts w:hint="eastAsia" w:eastAsia="方正仿宋_GBK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主要作业干散货内河港口企业</w:t>
      </w:r>
      <w:r>
        <w:rPr>
          <w:rFonts w:hint="eastAsia" w:eastAsia="方正仿宋_GBK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主要作业集装箱内河港口企业。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楷体_GBK"/>
          <w:kern w:val="0"/>
          <w:sz w:val="32"/>
          <w:szCs w:val="32"/>
        </w:rPr>
      </w:pPr>
      <w:r>
        <w:rPr>
          <w:rFonts w:hint="eastAsia" w:eastAsia="方正楷体_GBK"/>
          <w:kern w:val="0"/>
          <w:sz w:val="32"/>
          <w:szCs w:val="32"/>
        </w:rPr>
        <w:t>（三）数据采集与评分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</w:t>
      </w:r>
      <w:r>
        <w:rPr>
          <w:rFonts w:eastAsia="方正仿宋_GBK"/>
          <w:sz w:val="32"/>
          <w:szCs w:val="32"/>
        </w:rPr>
        <w:t>.</w:t>
      </w:r>
      <w:r>
        <w:rPr>
          <w:rFonts w:hint="eastAsia" w:eastAsia="方正仿宋_GBK"/>
          <w:sz w:val="32"/>
          <w:szCs w:val="32"/>
        </w:rPr>
        <w:t>申报企业填写《2024年度江苏港口企业认定申报书》（见附件），并提交相关证明材料。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2</w:t>
      </w:r>
      <w:r>
        <w:rPr>
          <w:rFonts w:eastAsia="方正仿宋_GBK"/>
          <w:sz w:val="32"/>
          <w:szCs w:val="32"/>
        </w:rPr>
        <w:t>.</w:t>
      </w:r>
      <w:r>
        <w:rPr>
          <w:rFonts w:hint="eastAsia" w:eastAsia="方正仿宋_GBK"/>
          <w:sz w:val="32"/>
          <w:szCs w:val="32"/>
        </w:rPr>
        <w:t>专家审核组根据认定办法，采集交通运输部“一套表”系统申报企业相关数据，并对照企业年度财务报表进行审核，同时复核证明材料进行综合评分。提出入围建议名单。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二、认定方法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楷体_GBK"/>
          <w:kern w:val="0"/>
          <w:sz w:val="32"/>
          <w:szCs w:val="32"/>
        </w:rPr>
      </w:pPr>
      <w:r>
        <w:rPr>
          <w:rFonts w:hint="eastAsia" w:eastAsia="方正楷体_GBK"/>
          <w:kern w:val="0"/>
          <w:sz w:val="32"/>
          <w:szCs w:val="32"/>
        </w:rPr>
        <w:t>（一）认定标准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1.</w:t>
      </w:r>
      <w:r>
        <w:rPr>
          <w:rFonts w:hint="eastAsia" w:eastAsia="方正仿宋_GBK"/>
          <w:sz w:val="32"/>
          <w:szCs w:val="32"/>
        </w:rPr>
        <w:t>企业规模指标及其权数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企业规模指标总分值占全部分值的权数为85</w:t>
      </w:r>
      <w:r>
        <w:rPr>
          <w:rFonts w:eastAsia="方正仿宋_GBK"/>
          <w:sz w:val="32"/>
          <w:szCs w:val="32"/>
        </w:rPr>
        <w:t>%</w:t>
      </w:r>
      <w:r>
        <w:rPr>
          <w:rFonts w:hint="eastAsia" w:eastAsia="方正仿宋_GBK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 xml:space="preserve">（1）总资产 </w:t>
      </w:r>
      <w:r>
        <w:rPr>
          <w:rFonts w:eastAsia="方正仿宋_GBK"/>
          <w:sz w:val="32"/>
          <w:szCs w:val="32"/>
        </w:rPr>
        <w:t xml:space="preserve">          </w:t>
      </w:r>
      <w:r>
        <w:rPr>
          <w:rFonts w:hint="eastAsia" w:eastAsia="方正仿宋_GBK"/>
          <w:sz w:val="32"/>
          <w:szCs w:val="32"/>
        </w:rPr>
        <w:t>权数为</w:t>
      </w:r>
      <w:r>
        <w:rPr>
          <w:rFonts w:eastAsia="方正仿宋_GBK"/>
          <w:sz w:val="32"/>
          <w:szCs w:val="32"/>
        </w:rPr>
        <w:t>5%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（</w:t>
      </w:r>
      <w:r>
        <w:rPr>
          <w:rFonts w:eastAsia="方正仿宋_GBK"/>
          <w:sz w:val="32"/>
          <w:szCs w:val="32"/>
        </w:rPr>
        <w:t>2</w:t>
      </w:r>
      <w:r>
        <w:rPr>
          <w:rFonts w:hint="eastAsia" w:eastAsia="方正仿宋_GBK"/>
          <w:sz w:val="32"/>
          <w:szCs w:val="32"/>
        </w:rPr>
        <w:t xml:space="preserve">）吞吐量 </w:t>
      </w:r>
      <w:r>
        <w:rPr>
          <w:rFonts w:eastAsia="方正仿宋_GBK"/>
          <w:sz w:val="32"/>
          <w:szCs w:val="32"/>
        </w:rPr>
        <w:t xml:space="preserve">          </w:t>
      </w:r>
      <w:r>
        <w:rPr>
          <w:rFonts w:hint="eastAsia" w:eastAsia="方正仿宋_GBK"/>
          <w:sz w:val="32"/>
          <w:szCs w:val="32"/>
        </w:rPr>
        <w:t>权数为50</w:t>
      </w:r>
      <w:r>
        <w:rPr>
          <w:rFonts w:eastAsia="方正仿宋_GBK"/>
          <w:sz w:val="32"/>
          <w:szCs w:val="32"/>
        </w:rPr>
        <w:t>%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（3）吞吐量同比       权数为10</w:t>
      </w:r>
      <w:r>
        <w:rPr>
          <w:rFonts w:eastAsia="方正仿宋_GBK"/>
          <w:sz w:val="32"/>
          <w:szCs w:val="32"/>
        </w:rPr>
        <w:t>%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（4）岸线利用效能     权数为10</w:t>
      </w:r>
      <w:r>
        <w:rPr>
          <w:rFonts w:eastAsia="方正仿宋_GBK"/>
          <w:sz w:val="32"/>
          <w:szCs w:val="32"/>
        </w:rPr>
        <w:t>%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 xml:space="preserve">（5）营业收入 </w:t>
      </w:r>
      <w:r>
        <w:rPr>
          <w:rFonts w:eastAsia="方正仿宋_GBK"/>
          <w:sz w:val="32"/>
          <w:szCs w:val="32"/>
        </w:rPr>
        <w:t xml:space="preserve">        </w:t>
      </w:r>
      <w:r>
        <w:rPr>
          <w:rFonts w:hint="eastAsia" w:eastAsia="方正仿宋_GBK"/>
          <w:sz w:val="32"/>
          <w:szCs w:val="32"/>
        </w:rPr>
        <w:t>权数为10</w:t>
      </w:r>
      <w:r>
        <w:rPr>
          <w:rFonts w:eastAsia="方正仿宋_GBK"/>
          <w:sz w:val="32"/>
          <w:szCs w:val="32"/>
        </w:rPr>
        <w:t>%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其中，营业收入是指港口业务营业收入。若港口企业有多种经营收入，只计入港口业务营业收入。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2.</w:t>
      </w:r>
      <w:r>
        <w:rPr>
          <w:rFonts w:hint="eastAsia" w:eastAsia="方正仿宋_GBK"/>
          <w:sz w:val="32"/>
          <w:szCs w:val="32"/>
        </w:rPr>
        <w:t>港口绿色指标及其权数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港口绿色指标分值占全部分值的权数为5</w:t>
      </w:r>
      <w:r>
        <w:rPr>
          <w:rFonts w:eastAsia="方正仿宋_GBK"/>
          <w:sz w:val="32"/>
          <w:szCs w:val="32"/>
        </w:rPr>
        <w:t>%</w:t>
      </w:r>
      <w:r>
        <w:rPr>
          <w:rFonts w:hint="eastAsia" w:eastAsia="方正仿宋_GBK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3</w:t>
      </w:r>
      <w:r>
        <w:rPr>
          <w:rFonts w:eastAsia="方正仿宋_GBK"/>
          <w:sz w:val="32"/>
          <w:szCs w:val="32"/>
        </w:rPr>
        <w:t>.</w:t>
      </w:r>
      <w:r>
        <w:rPr>
          <w:rFonts w:hint="eastAsia" w:eastAsia="方正仿宋_GBK"/>
          <w:sz w:val="32"/>
          <w:szCs w:val="32"/>
        </w:rPr>
        <w:t>港口安全指标及其权数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港口安全指标分值占全部分值的权数为5</w:t>
      </w:r>
      <w:r>
        <w:rPr>
          <w:rFonts w:eastAsia="方正仿宋_GBK"/>
          <w:sz w:val="32"/>
          <w:szCs w:val="32"/>
        </w:rPr>
        <w:t>%</w:t>
      </w:r>
      <w:r>
        <w:rPr>
          <w:rFonts w:hint="eastAsia" w:eastAsia="方正仿宋_GBK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4</w:t>
      </w:r>
      <w:r>
        <w:rPr>
          <w:rFonts w:eastAsia="方正仿宋_GBK"/>
          <w:sz w:val="32"/>
          <w:szCs w:val="32"/>
        </w:rPr>
        <w:t>.</w:t>
      </w:r>
      <w:r>
        <w:rPr>
          <w:rFonts w:hint="eastAsia" w:eastAsia="方正仿宋_GBK"/>
          <w:sz w:val="32"/>
          <w:szCs w:val="32"/>
        </w:rPr>
        <w:t>智慧港口指标及其权数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智慧港口指标分值占全部分值的权数为5</w:t>
      </w:r>
      <w:r>
        <w:rPr>
          <w:rFonts w:eastAsia="方正仿宋_GBK"/>
          <w:sz w:val="32"/>
          <w:szCs w:val="32"/>
        </w:rPr>
        <w:t>%</w:t>
      </w:r>
      <w:r>
        <w:rPr>
          <w:rFonts w:hint="eastAsia" w:eastAsia="方正仿宋_GBK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楷体_GBK"/>
          <w:kern w:val="0"/>
          <w:sz w:val="32"/>
          <w:szCs w:val="32"/>
        </w:rPr>
      </w:pPr>
      <w:r>
        <w:rPr>
          <w:rFonts w:hint="eastAsia" w:eastAsia="方正楷体_GBK"/>
          <w:kern w:val="0"/>
          <w:sz w:val="32"/>
          <w:szCs w:val="32"/>
        </w:rPr>
        <w:t>（二）一票否决指标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</w:t>
      </w:r>
      <w:r>
        <w:rPr>
          <w:rFonts w:eastAsia="方正仿宋_GBK"/>
          <w:sz w:val="32"/>
          <w:szCs w:val="32"/>
        </w:rPr>
        <w:t>.</w:t>
      </w:r>
      <w:r>
        <w:rPr>
          <w:rFonts w:hint="eastAsia" w:eastAsia="方正仿宋_GBK" w:asciiTheme="minorHAnsi" w:hAnsiTheme="minorHAnsi" w:cstheme="minorBidi"/>
          <w:sz w:val="32"/>
          <w:szCs w:val="32"/>
        </w:rPr>
        <w:t xml:space="preserve"> 码头建设手续</w:t>
      </w:r>
      <w:r>
        <w:rPr>
          <w:rFonts w:hint="eastAsia" w:eastAsia="方正仿宋_GBK"/>
          <w:sz w:val="32"/>
          <w:szCs w:val="32"/>
        </w:rPr>
        <w:t>不</w:t>
      </w:r>
      <w:r>
        <w:rPr>
          <w:rFonts w:hint="eastAsia" w:eastAsia="方正仿宋_GBK" w:asciiTheme="minorHAnsi" w:hAnsiTheme="minorHAnsi" w:cstheme="minorBidi"/>
          <w:sz w:val="32"/>
          <w:szCs w:val="32"/>
        </w:rPr>
        <w:t>齐全</w:t>
      </w:r>
      <w:r>
        <w:rPr>
          <w:rFonts w:hint="eastAsia" w:eastAsia="方正仿宋_GBK"/>
          <w:sz w:val="32"/>
          <w:szCs w:val="32"/>
        </w:rPr>
        <w:t>、批建不符、未按港口经营</w:t>
      </w:r>
      <w:r>
        <w:rPr>
          <w:rFonts w:hint="eastAsia" w:eastAsia="方正仿宋_GBK" w:asciiTheme="minorHAnsi" w:hAnsiTheme="minorHAnsi" w:cstheme="minorBidi"/>
          <w:sz w:val="32"/>
          <w:szCs w:val="32"/>
        </w:rPr>
        <w:t>许可内容从事港口经营活动</w:t>
      </w:r>
      <w:r>
        <w:rPr>
          <w:rFonts w:hint="eastAsia" w:eastAsia="方正仿宋_GBK"/>
          <w:sz w:val="32"/>
          <w:szCs w:val="32"/>
        </w:rPr>
        <w:t>的港口企业，取消企业当年度认定资格。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2.</w:t>
      </w:r>
      <w:r>
        <w:rPr>
          <w:rFonts w:hint="eastAsia" w:eastAsia="方正仿宋_GBK"/>
          <w:sz w:val="32"/>
          <w:szCs w:val="32"/>
        </w:rPr>
        <w:t>企业在统计报表佐证材料中弄虚作假，一经查实，取消企业当年度和下一年度认定资格。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3</w:t>
      </w:r>
      <w:r>
        <w:rPr>
          <w:rFonts w:hint="eastAsia" w:eastAsia="方正仿宋_GBK"/>
          <w:sz w:val="32"/>
          <w:szCs w:val="32"/>
        </w:rPr>
        <w:t>.对于当年度因环保问题受到当地相关主管部门处罚、发生一般安全事故及以上的港口企业，取消其当年度认定资格。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楷体_GBK"/>
          <w:kern w:val="0"/>
          <w:sz w:val="32"/>
          <w:szCs w:val="32"/>
        </w:rPr>
      </w:pPr>
      <w:r>
        <w:rPr>
          <w:rFonts w:hint="eastAsia" w:eastAsia="方正楷体_GBK"/>
          <w:kern w:val="0"/>
          <w:sz w:val="32"/>
          <w:szCs w:val="32"/>
        </w:rPr>
        <w:t>（三）具体计算方法</w:t>
      </w:r>
    </w:p>
    <w:p>
      <w:pPr>
        <w:pStyle w:val="15"/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认定总分值最高为1</w:t>
      </w:r>
      <w:r>
        <w:rPr>
          <w:rFonts w:eastAsia="方正仿宋_GBK"/>
          <w:sz w:val="32"/>
          <w:szCs w:val="32"/>
        </w:rPr>
        <w:t>00</w:t>
      </w:r>
      <w:r>
        <w:rPr>
          <w:rFonts w:hint="eastAsia" w:eastAsia="方正仿宋_GBK"/>
          <w:sz w:val="32"/>
          <w:szCs w:val="32"/>
        </w:rPr>
        <w:t>分，按下列计算公式得出各指标分值并相加，即可算出该企业的总得分。将各企业的总得分进行排序，按认定种类指标分配确定认定企业名单。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楷体_GBK"/>
          <w:kern w:val="0"/>
          <w:sz w:val="32"/>
          <w:szCs w:val="32"/>
        </w:rPr>
      </w:pPr>
      <w:r>
        <w:rPr>
          <w:rFonts w:hint="eastAsia" w:eastAsia="方正楷体_GBK"/>
          <w:kern w:val="0"/>
          <w:sz w:val="32"/>
          <w:szCs w:val="32"/>
        </w:rPr>
        <w:t>计算公式：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1.总资产分值，按照总资产排序赋分，第一名5分，根据名次依次递减0.5分。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2</w:t>
      </w:r>
      <w:r>
        <w:rPr>
          <w:rFonts w:hint="eastAsia" w:eastAsia="方正仿宋_GBK"/>
          <w:sz w:val="32"/>
          <w:szCs w:val="32"/>
        </w:rPr>
        <w:t>.吞吐量分值，按照吞吐量排序赋分，第一名50分，根据名次依次递减2分。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3.吞吐量同比=（当年货物吞吐量</w:t>
      </w:r>
      <w:r>
        <w:rPr>
          <w:rFonts w:eastAsia="方正仿宋_GBK"/>
          <w:sz w:val="32"/>
          <w:szCs w:val="32"/>
        </w:rPr>
        <w:t>-</w:t>
      </w:r>
      <w:r>
        <w:rPr>
          <w:rFonts w:hint="eastAsia" w:eastAsia="方正仿宋_GBK"/>
          <w:sz w:val="32"/>
          <w:szCs w:val="32"/>
        </w:rPr>
        <w:t>上年货物吞吐量）</w:t>
      </w:r>
      <w:r>
        <w:rPr>
          <w:rFonts w:eastAsia="方正仿宋_GBK"/>
          <w:sz w:val="32"/>
          <w:szCs w:val="32"/>
        </w:rPr>
        <w:t>/</w:t>
      </w:r>
      <w:r>
        <w:rPr>
          <w:rFonts w:hint="eastAsia" w:eastAsia="方正仿宋_GBK"/>
          <w:sz w:val="32"/>
          <w:szCs w:val="32"/>
        </w:rPr>
        <w:t>上年货物吞吐量</w:t>
      </w:r>
      <w:r>
        <w:rPr>
          <w:rFonts w:hint="eastAsia" w:ascii="方正仿宋_GBK" w:eastAsia="方正仿宋_GBK"/>
          <w:sz w:val="32"/>
          <w:szCs w:val="32"/>
        </w:rPr>
        <w:t>*</w:t>
      </w:r>
      <w:r>
        <w:rPr>
          <w:rFonts w:eastAsia="方正仿宋_GBK"/>
          <w:sz w:val="32"/>
          <w:szCs w:val="32"/>
        </w:rPr>
        <w:t>100</w:t>
      </w:r>
      <w:r>
        <w:rPr>
          <w:rFonts w:hint="eastAsia" w:eastAsia="方正仿宋_GBK"/>
          <w:sz w:val="32"/>
          <w:szCs w:val="32"/>
        </w:rPr>
        <w:t>，按照吞吐量同比排序赋分，第一名10分，根据名次依次递减0.5分，若同比为负值不得分。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4.岸线利用效能=当年货物吞吐量</w:t>
      </w:r>
      <w:r>
        <w:rPr>
          <w:rFonts w:eastAsia="方正仿宋_GBK"/>
          <w:sz w:val="32"/>
          <w:szCs w:val="32"/>
        </w:rPr>
        <w:t>/</w:t>
      </w:r>
      <w:r>
        <w:rPr>
          <w:rFonts w:hint="eastAsia" w:eastAsia="方正仿宋_GBK"/>
          <w:sz w:val="32"/>
          <w:szCs w:val="32"/>
        </w:rPr>
        <w:t>使用港口岸线长度，按照排序岸线利用效能赋分，第一名10分，根据名次依次递减0.5分。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5</w:t>
      </w:r>
      <w:r>
        <w:rPr>
          <w:rFonts w:eastAsia="方正仿宋_GBK"/>
          <w:sz w:val="32"/>
          <w:szCs w:val="32"/>
        </w:rPr>
        <w:t>.</w:t>
      </w:r>
      <w:r>
        <w:rPr>
          <w:rFonts w:hint="eastAsia" w:eastAsia="方正仿宋_GBK"/>
          <w:sz w:val="32"/>
          <w:szCs w:val="32"/>
        </w:rPr>
        <w:t>营业收入分值，按照排序赋分，第一名10分，根据名次依次递减0.5分。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6</w:t>
      </w:r>
      <w:r>
        <w:rPr>
          <w:rFonts w:eastAsia="方正仿宋_GBK"/>
          <w:sz w:val="32"/>
          <w:szCs w:val="32"/>
        </w:rPr>
        <w:t>.</w:t>
      </w:r>
      <w:r>
        <w:rPr>
          <w:rFonts w:hint="eastAsia" w:eastAsia="方正仿宋_GBK"/>
          <w:sz w:val="32"/>
          <w:szCs w:val="32"/>
        </w:rPr>
        <w:t>港口绿色分值5分。按照企业获得绿色港口星级来确定，全国五星级“中国绿色港口”得5分，全国四星级“中国绿色港口”得4分，江苏五星级绿色港口3分，四星级2分，三星级1分，其他不得分。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7</w:t>
      </w:r>
      <w:r>
        <w:rPr>
          <w:rFonts w:eastAsia="方正仿宋_GBK"/>
          <w:sz w:val="32"/>
          <w:szCs w:val="32"/>
        </w:rPr>
        <w:t>.</w:t>
      </w:r>
      <w:r>
        <w:rPr>
          <w:rFonts w:hint="eastAsia" w:eastAsia="方正仿宋_GBK"/>
          <w:sz w:val="32"/>
          <w:szCs w:val="32"/>
        </w:rPr>
        <w:t>港口安全水平5分，由企业提供证明材料，设区市交通运输局审核赋分。设区市交通运输局从查验基础设施配套，建立完善安全生产管理规章制度，落实劳务外包人员（含灵活就业人员）教育培训、构建双重预防机制等情况进行评价。满分5分，最低不得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8</w:t>
      </w:r>
      <w:r>
        <w:rPr>
          <w:rFonts w:eastAsia="方正仿宋_GBK"/>
          <w:sz w:val="32"/>
          <w:szCs w:val="32"/>
        </w:rPr>
        <w:t>.</w:t>
      </w:r>
      <w:r>
        <w:rPr>
          <w:rFonts w:hint="eastAsia" w:eastAsia="方正仿宋_GBK"/>
          <w:sz w:val="32"/>
          <w:szCs w:val="32"/>
        </w:rPr>
        <w:t>港口智慧化水平分值5分，由企业提供证明材料，设区市交通运输局审核。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 xml:space="preserve">联系人：省交通运输厅港口处 </w:t>
      </w:r>
      <w:r>
        <w:rPr>
          <w:rFonts w:hint="eastAsia" w:eastAsia="方正仿宋_GBK"/>
          <w:sz w:val="32"/>
          <w:szCs w:val="32"/>
          <w:lang w:val="en-US" w:eastAsia="zh-CN"/>
        </w:rPr>
        <w:t>陈志勇</w:t>
      </w:r>
      <w:r>
        <w:rPr>
          <w:rFonts w:hint="eastAsia" w:eastAsia="方正仿宋_GBK"/>
          <w:sz w:val="32"/>
          <w:szCs w:val="32"/>
        </w:rPr>
        <w:t xml:space="preserve">  025-52853402 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附件：1.江苏港口企业认定指标体系表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1600" w:firstLineChars="5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2.2024年度江苏港口企业认定申报表（含附表1-</w:t>
      </w:r>
      <w:r>
        <w:rPr>
          <w:rFonts w:eastAsia="方正仿宋_GBK"/>
          <w:sz w:val="32"/>
          <w:szCs w:val="32"/>
        </w:rPr>
        <w:t>2</w:t>
      </w:r>
      <w:r>
        <w:rPr>
          <w:rFonts w:hint="eastAsia" w:eastAsia="方正仿宋_GBK"/>
          <w:sz w:val="32"/>
          <w:szCs w:val="32"/>
        </w:rPr>
        <w:t>）</w:t>
      </w:r>
    </w:p>
    <w:p>
      <w:pPr>
        <w:widowControl/>
        <w:adjustRightInd w:val="0"/>
        <w:snapToGrid w:val="0"/>
        <w:spacing w:line="590" w:lineRule="exact"/>
        <w:rPr>
          <w:rFonts w:eastAsia="方正仿宋_GBK"/>
          <w:sz w:val="32"/>
          <w:szCs w:val="32"/>
        </w:rPr>
        <w:sectPr>
          <w:footerReference r:id="rId3" w:type="default"/>
          <w:pgSz w:w="11906" w:h="16838"/>
          <w:pgMar w:top="1474" w:right="1474" w:bottom="1361" w:left="1588" w:header="851" w:footer="772" w:gutter="0"/>
          <w:cols w:space="425" w:num="1"/>
          <w:docGrid w:type="lines" w:linePitch="312" w:charSpace="0"/>
        </w:sectPr>
      </w:pPr>
    </w:p>
    <w:p>
      <w:pPr>
        <w:adjustRightInd w:val="0"/>
        <w:snapToGrid w:val="0"/>
        <w:spacing w:after="156" w:afterLines="50" w:line="480" w:lineRule="exact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>
      <w:pPr>
        <w:adjustRightInd w:val="0"/>
        <w:snapToGrid w:val="0"/>
        <w:spacing w:after="156" w:afterLines="50" w:line="480" w:lineRule="exact"/>
        <w:jc w:val="center"/>
        <w:rPr>
          <w:rFonts w:ascii="黑体" w:hAnsi="黑体" w:eastAsia="黑体"/>
          <w:sz w:val="36"/>
          <w:szCs w:val="36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江苏港口企业认定指标体系表</w:t>
      </w:r>
    </w:p>
    <w:tbl>
      <w:tblPr>
        <w:tblStyle w:val="10"/>
        <w:tblW w:w="4980" w:type="pct"/>
        <w:tblInd w:w="-14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72"/>
        <w:gridCol w:w="1155"/>
        <w:gridCol w:w="2736"/>
        <w:gridCol w:w="1440"/>
        <w:gridCol w:w="3365"/>
        <w:gridCol w:w="2456"/>
        <w:gridCol w:w="10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8" w:hRule="atLeast"/>
        </w:trPr>
        <w:tc>
          <w:tcPr>
            <w:tcW w:w="663" w:type="pct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b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000000"/>
                <w:kern w:val="0"/>
                <w:szCs w:val="21"/>
              </w:rPr>
              <w:t>一级指标</w:t>
            </w:r>
          </w:p>
        </w:tc>
        <w:tc>
          <w:tcPr>
            <w:tcW w:w="409" w:type="pct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b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969" w:type="pct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b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000000"/>
                <w:kern w:val="0"/>
                <w:szCs w:val="21"/>
              </w:rPr>
              <w:t>二级指标</w:t>
            </w:r>
          </w:p>
        </w:tc>
        <w:tc>
          <w:tcPr>
            <w:tcW w:w="510" w:type="pct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b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000000"/>
                <w:kern w:val="0"/>
                <w:szCs w:val="21"/>
              </w:rPr>
              <w:t>单位</w:t>
            </w:r>
          </w:p>
        </w:tc>
        <w:tc>
          <w:tcPr>
            <w:tcW w:w="1192" w:type="pct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b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000000"/>
                <w:kern w:val="0"/>
                <w:szCs w:val="21"/>
              </w:rPr>
              <w:t>数据来源</w:t>
            </w:r>
          </w:p>
        </w:tc>
        <w:tc>
          <w:tcPr>
            <w:tcW w:w="870" w:type="pct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b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000000"/>
                <w:kern w:val="0"/>
                <w:szCs w:val="21"/>
              </w:rPr>
              <w:t>备注</w:t>
            </w:r>
          </w:p>
        </w:tc>
        <w:tc>
          <w:tcPr>
            <w:tcW w:w="387" w:type="pct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b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000000"/>
                <w:kern w:val="0"/>
                <w:szCs w:val="21"/>
              </w:rPr>
              <w:t>权重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</w:trPr>
        <w:tc>
          <w:tcPr>
            <w:tcW w:w="663" w:type="pct"/>
            <w:vMerge w:val="restart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b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000000"/>
                <w:kern w:val="0"/>
                <w:szCs w:val="21"/>
              </w:rPr>
              <w:t>企业规模</w:t>
            </w:r>
          </w:p>
          <w:p>
            <w:pPr>
              <w:widowControl/>
              <w:jc w:val="center"/>
              <w:rPr>
                <w:rFonts w:cs="宋体" w:asciiTheme="minorEastAsia" w:hAnsiTheme="minorEastAsia"/>
                <w:b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000000"/>
                <w:kern w:val="0"/>
                <w:szCs w:val="21"/>
              </w:rPr>
              <w:t>（85分）</w:t>
            </w:r>
          </w:p>
        </w:tc>
        <w:tc>
          <w:tcPr>
            <w:tcW w:w="409" w:type="pct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bCs/>
                <w:color w:val="000000"/>
                <w:kern w:val="0"/>
                <w:szCs w:val="21"/>
              </w:rPr>
              <w:t>1</w:t>
            </w:r>
          </w:p>
        </w:tc>
        <w:tc>
          <w:tcPr>
            <w:tcW w:w="969" w:type="pct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bCs/>
                <w:color w:val="000000"/>
                <w:kern w:val="0"/>
                <w:szCs w:val="21"/>
              </w:rPr>
              <w:t>总资产</w:t>
            </w:r>
          </w:p>
        </w:tc>
        <w:tc>
          <w:tcPr>
            <w:tcW w:w="510" w:type="pct"/>
            <w:vAlign w:val="center"/>
          </w:tcPr>
          <w:p>
            <w:pPr>
              <w:widowControl/>
              <w:jc w:val="center"/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亿元</w:t>
            </w:r>
          </w:p>
        </w:tc>
        <w:tc>
          <w:tcPr>
            <w:tcW w:w="1192" w:type="pct"/>
            <w:vAlign w:val="center"/>
          </w:tcPr>
          <w:p>
            <w:pPr>
              <w:widowControl/>
              <w:jc w:val="center"/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企业上报，一套表系统核查</w:t>
            </w:r>
          </w:p>
        </w:tc>
        <w:tc>
          <w:tcPr>
            <w:tcW w:w="870" w:type="pct"/>
            <w:vAlign w:val="center"/>
          </w:tcPr>
          <w:p>
            <w:pPr>
              <w:widowControl/>
              <w:jc w:val="center"/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提供佐证材料并盖章</w:t>
            </w:r>
          </w:p>
        </w:tc>
        <w:tc>
          <w:tcPr>
            <w:tcW w:w="387" w:type="pct"/>
            <w:vAlign w:val="center"/>
          </w:tcPr>
          <w:p>
            <w:pPr>
              <w:widowControl/>
              <w:jc w:val="center"/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</w:trPr>
        <w:tc>
          <w:tcPr>
            <w:tcW w:w="663" w:type="pct"/>
            <w:vMerge w:val="continue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b/>
                <w:color w:val="000000"/>
                <w:kern w:val="0"/>
                <w:szCs w:val="21"/>
              </w:rPr>
            </w:pPr>
          </w:p>
        </w:tc>
        <w:tc>
          <w:tcPr>
            <w:tcW w:w="409" w:type="pct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bCs/>
                <w:color w:val="000000"/>
                <w:kern w:val="0"/>
                <w:szCs w:val="21"/>
              </w:rPr>
              <w:t>2</w:t>
            </w:r>
          </w:p>
        </w:tc>
        <w:tc>
          <w:tcPr>
            <w:tcW w:w="969" w:type="pct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bCs/>
                <w:color w:val="000000"/>
                <w:kern w:val="0"/>
                <w:szCs w:val="21"/>
              </w:rPr>
              <w:t>吞吐量</w:t>
            </w:r>
          </w:p>
        </w:tc>
        <w:tc>
          <w:tcPr>
            <w:tcW w:w="510" w:type="pct"/>
            <w:vAlign w:val="center"/>
          </w:tcPr>
          <w:p>
            <w:pPr>
              <w:widowControl/>
              <w:jc w:val="center"/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万吨</w:t>
            </w:r>
          </w:p>
        </w:tc>
        <w:tc>
          <w:tcPr>
            <w:tcW w:w="1192" w:type="pct"/>
            <w:vAlign w:val="center"/>
          </w:tcPr>
          <w:p>
            <w:pPr>
              <w:widowControl/>
              <w:jc w:val="center"/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企业上报，一套表系统核查</w:t>
            </w:r>
          </w:p>
        </w:tc>
        <w:tc>
          <w:tcPr>
            <w:tcW w:w="870" w:type="pct"/>
            <w:vAlign w:val="center"/>
          </w:tcPr>
          <w:p>
            <w:pPr>
              <w:widowControl/>
              <w:jc w:val="center"/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提供佐证材料并盖章</w:t>
            </w:r>
          </w:p>
        </w:tc>
        <w:tc>
          <w:tcPr>
            <w:tcW w:w="387" w:type="pct"/>
            <w:vAlign w:val="center"/>
          </w:tcPr>
          <w:p>
            <w:pPr>
              <w:widowControl/>
              <w:jc w:val="center"/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</w:trPr>
        <w:tc>
          <w:tcPr>
            <w:tcW w:w="663" w:type="pct"/>
            <w:vMerge w:val="continue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b/>
                <w:color w:val="000000"/>
                <w:kern w:val="0"/>
                <w:szCs w:val="21"/>
              </w:rPr>
            </w:pPr>
          </w:p>
        </w:tc>
        <w:tc>
          <w:tcPr>
            <w:tcW w:w="409" w:type="pct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3</w:t>
            </w:r>
          </w:p>
        </w:tc>
        <w:tc>
          <w:tcPr>
            <w:tcW w:w="969" w:type="pct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吞吐量同比</w:t>
            </w:r>
          </w:p>
        </w:tc>
        <w:tc>
          <w:tcPr>
            <w:tcW w:w="510" w:type="pct"/>
            <w:vAlign w:val="center"/>
          </w:tcPr>
          <w:p>
            <w:pPr>
              <w:widowControl/>
              <w:jc w:val="center"/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%</w:t>
            </w:r>
          </w:p>
        </w:tc>
        <w:tc>
          <w:tcPr>
            <w:tcW w:w="1192" w:type="pct"/>
            <w:vAlign w:val="center"/>
          </w:tcPr>
          <w:p>
            <w:pPr>
              <w:widowControl/>
              <w:jc w:val="center"/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企业根据两年的码头吞吐量计算</w:t>
            </w:r>
          </w:p>
        </w:tc>
        <w:tc>
          <w:tcPr>
            <w:tcW w:w="870" w:type="pct"/>
            <w:vAlign w:val="center"/>
          </w:tcPr>
          <w:p>
            <w:pPr>
              <w:widowControl/>
              <w:jc w:val="center"/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提供佐证材料并盖章</w:t>
            </w:r>
          </w:p>
        </w:tc>
        <w:tc>
          <w:tcPr>
            <w:tcW w:w="387" w:type="pct"/>
            <w:vAlign w:val="center"/>
          </w:tcPr>
          <w:p>
            <w:pPr>
              <w:widowControl/>
              <w:jc w:val="center"/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</w:trPr>
        <w:tc>
          <w:tcPr>
            <w:tcW w:w="663" w:type="pct"/>
            <w:vMerge w:val="continue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b/>
                <w:color w:val="000000"/>
                <w:kern w:val="0"/>
                <w:szCs w:val="21"/>
              </w:rPr>
            </w:pPr>
          </w:p>
        </w:tc>
        <w:tc>
          <w:tcPr>
            <w:tcW w:w="409" w:type="pct"/>
            <w:vAlign w:val="center"/>
          </w:tcPr>
          <w:p>
            <w:pPr>
              <w:widowControl/>
              <w:jc w:val="center"/>
              <w:rPr>
                <w:rFonts w:hint="eastAsia"/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4</w:t>
            </w:r>
          </w:p>
        </w:tc>
        <w:tc>
          <w:tcPr>
            <w:tcW w:w="969" w:type="pct"/>
            <w:vAlign w:val="center"/>
          </w:tcPr>
          <w:p>
            <w:pPr>
              <w:widowControl/>
              <w:jc w:val="center"/>
              <w:rPr>
                <w:rFonts w:hint="eastAsia"/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岸线利用效能</w:t>
            </w:r>
          </w:p>
        </w:tc>
        <w:tc>
          <w:tcPr>
            <w:tcW w:w="510" w:type="pct"/>
            <w:vAlign w:val="center"/>
          </w:tcPr>
          <w:p>
            <w:pPr>
              <w:widowControl/>
              <w:jc w:val="center"/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-</w:t>
            </w:r>
          </w:p>
        </w:tc>
        <w:tc>
          <w:tcPr>
            <w:tcW w:w="1192" w:type="pct"/>
            <w:vAlign w:val="center"/>
          </w:tcPr>
          <w:p>
            <w:pPr>
              <w:widowControl/>
              <w:jc w:val="center"/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企业根据码头吞吐量和泊位长度计算</w:t>
            </w:r>
          </w:p>
        </w:tc>
        <w:tc>
          <w:tcPr>
            <w:tcW w:w="870" w:type="pct"/>
            <w:vAlign w:val="center"/>
          </w:tcPr>
          <w:p>
            <w:pPr>
              <w:widowControl/>
              <w:jc w:val="center"/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应提供单个码头吞吐量和岸线长度资料</w:t>
            </w:r>
          </w:p>
        </w:tc>
        <w:tc>
          <w:tcPr>
            <w:tcW w:w="387" w:type="pct"/>
            <w:vAlign w:val="center"/>
          </w:tcPr>
          <w:p>
            <w:pPr>
              <w:widowControl/>
              <w:jc w:val="center"/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</w:trPr>
        <w:tc>
          <w:tcPr>
            <w:tcW w:w="663" w:type="pct"/>
            <w:vMerge w:val="continue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b/>
                <w:color w:val="000000"/>
                <w:kern w:val="0"/>
                <w:szCs w:val="21"/>
              </w:rPr>
            </w:pPr>
          </w:p>
        </w:tc>
        <w:tc>
          <w:tcPr>
            <w:tcW w:w="409" w:type="pct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6</w:t>
            </w:r>
          </w:p>
        </w:tc>
        <w:tc>
          <w:tcPr>
            <w:tcW w:w="969" w:type="pct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bCs/>
                <w:color w:val="000000"/>
                <w:kern w:val="0"/>
                <w:szCs w:val="21"/>
              </w:rPr>
              <w:t>营业收入</w:t>
            </w:r>
          </w:p>
        </w:tc>
        <w:tc>
          <w:tcPr>
            <w:tcW w:w="510" w:type="pct"/>
            <w:vAlign w:val="center"/>
          </w:tcPr>
          <w:p>
            <w:pPr>
              <w:widowControl/>
              <w:jc w:val="center"/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亿元</w:t>
            </w:r>
          </w:p>
        </w:tc>
        <w:tc>
          <w:tcPr>
            <w:tcW w:w="1192" w:type="pct"/>
            <w:vAlign w:val="center"/>
          </w:tcPr>
          <w:p>
            <w:pPr>
              <w:widowControl/>
              <w:jc w:val="center"/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企业上报，一套表系统核查</w:t>
            </w:r>
          </w:p>
        </w:tc>
        <w:tc>
          <w:tcPr>
            <w:tcW w:w="870" w:type="pct"/>
            <w:vAlign w:val="center"/>
          </w:tcPr>
          <w:p>
            <w:pPr>
              <w:widowControl/>
              <w:jc w:val="center"/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提供佐证材料并盖章</w:t>
            </w:r>
          </w:p>
        </w:tc>
        <w:tc>
          <w:tcPr>
            <w:tcW w:w="387" w:type="pct"/>
            <w:vAlign w:val="center"/>
          </w:tcPr>
          <w:p>
            <w:pPr>
              <w:widowControl/>
              <w:jc w:val="center"/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</w:trPr>
        <w:tc>
          <w:tcPr>
            <w:tcW w:w="663" w:type="pct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b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000000"/>
                <w:kern w:val="0"/>
                <w:szCs w:val="21"/>
              </w:rPr>
              <w:t>绿色港口</w:t>
            </w:r>
          </w:p>
          <w:p>
            <w:pPr>
              <w:widowControl/>
              <w:jc w:val="center"/>
              <w:rPr>
                <w:rFonts w:cs="宋体" w:asciiTheme="minorEastAsia" w:hAnsiTheme="minorEastAsia"/>
                <w:b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000000"/>
                <w:kern w:val="0"/>
                <w:szCs w:val="21"/>
              </w:rPr>
              <w:t>（5分）</w:t>
            </w:r>
          </w:p>
        </w:tc>
        <w:tc>
          <w:tcPr>
            <w:tcW w:w="409" w:type="pct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7</w:t>
            </w:r>
          </w:p>
        </w:tc>
        <w:tc>
          <w:tcPr>
            <w:tcW w:w="969" w:type="pct"/>
            <w:vAlign w:val="center"/>
          </w:tcPr>
          <w:p>
            <w:pPr>
              <w:widowControl/>
              <w:jc w:val="center"/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港口绿色水平</w:t>
            </w:r>
          </w:p>
        </w:tc>
        <w:tc>
          <w:tcPr>
            <w:tcW w:w="510" w:type="pct"/>
            <w:vAlign w:val="center"/>
          </w:tcPr>
          <w:p>
            <w:pPr>
              <w:widowControl/>
              <w:jc w:val="center"/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1192" w:type="pct"/>
            <w:vAlign w:val="center"/>
          </w:tcPr>
          <w:p>
            <w:pPr>
              <w:widowControl/>
              <w:jc w:val="center"/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企业上报，市级</w:t>
            </w:r>
            <w:r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交通局审核赋分</w:t>
            </w:r>
          </w:p>
        </w:tc>
        <w:tc>
          <w:tcPr>
            <w:tcW w:w="870" w:type="pct"/>
            <w:vAlign w:val="center"/>
          </w:tcPr>
          <w:p>
            <w:pPr>
              <w:widowControl/>
              <w:jc w:val="center"/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7" w:type="pct"/>
            <w:vAlign w:val="center"/>
          </w:tcPr>
          <w:p>
            <w:pPr>
              <w:widowControl/>
              <w:jc w:val="center"/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</w:trPr>
        <w:tc>
          <w:tcPr>
            <w:tcW w:w="663" w:type="pct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b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000000"/>
                <w:kern w:val="0"/>
                <w:szCs w:val="21"/>
              </w:rPr>
              <w:t>安全港口</w:t>
            </w:r>
          </w:p>
          <w:p>
            <w:pPr>
              <w:widowControl/>
              <w:jc w:val="center"/>
              <w:rPr>
                <w:rFonts w:cs="宋体" w:asciiTheme="minorEastAsia" w:hAnsiTheme="minorEastAsia"/>
                <w:b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000000"/>
                <w:kern w:val="0"/>
                <w:szCs w:val="21"/>
              </w:rPr>
              <w:t>（5分）</w:t>
            </w:r>
          </w:p>
        </w:tc>
        <w:tc>
          <w:tcPr>
            <w:tcW w:w="409" w:type="pct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8</w:t>
            </w:r>
          </w:p>
        </w:tc>
        <w:tc>
          <w:tcPr>
            <w:tcW w:w="969" w:type="pct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港口</w:t>
            </w:r>
            <w:r>
              <w:rPr>
                <w:bCs/>
                <w:color w:val="000000"/>
                <w:kern w:val="0"/>
                <w:szCs w:val="21"/>
              </w:rPr>
              <w:t>安全</w:t>
            </w:r>
            <w:r>
              <w:rPr>
                <w:rFonts w:hint="eastAsia"/>
                <w:bCs/>
                <w:color w:val="000000"/>
                <w:kern w:val="0"/>
                <w:szCs w:val="21"/>
              </w:rPr>
              <w:t>水平</w:t>
            </w:r>
          </w:p>
        </w:tc>
        <w:tc>
          <w:tcPr>
            <w:tcW w:w="510" w:type="pct"/>
            <w:vAlign w:val="center"/>
          </w:tcPr>
          <w:p>
            <w:pPr>
              <w:widowControl/>
              <w:jc w:val="center"/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1192" w:type="pct"/>
            <w:vAlign w:val="center"/>
          </w:tcPr>
          <w:p>
            <w:pPr>
              <w:widowControl/>
              <w:jc w:val="center"/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企业上报，市级</w:t>
            </w:r>
            <w:r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交通局审核赋分</w:t>
            </w:r>
          </w:p>
        </w:tc>
        <w:tc>
          <w:tcPr>
            <w:tcW w:w="870" w:type="pct"/>
            <w:vAlign w:val="center"/>
          </w:tcPr>
          <w:p>
            <w:pPr>
              <w:widowControl/>
              <w:jc w:val="center"/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7" w:type="pct"/>
            <w:vAlign w:val="center"/>
          </w:tcPr>
          <w:p>
            <w:pPr>
              <w:widowControl/>
              <w:jc w:val="center"/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</w:trPr>
        <w:tc>
          <w:tcPr>
            <w:tcW w:w="663" w:type="pct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b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000000"/>
                <w:kern w:val="0"/>
                <w:szCs w:val="21"/>
              </w:rPr>
              <w:t>智慧港口</w:t>
            </w:r>
          </w:p>
          <w:p>
            <w:pPr>
              <w:widowControl/>
              <w:jc w:val="center"/>
              <w:rPr>
                <w:rFonts w:cs="宋体" w:asciiTheme="minorEastAsia" w:hAnsiTheme="minorEastAsia"/>
                <w:b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color w:val="000000"/>
                <w:kern w:val="0"/>
                <w:szCs w:val="21"/>
              </w:rPr>
              <w:t>（5分）</w:t>
            </w:r>
          </w:p>
        </w:tc>
        <w:tc>
          <w:tcPr>
            <w:tcW w:w="409" w:type="pct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9</w:t>
            </w:r>
          </w:p>
        </w:tc>
        <w:tc>
          <w:tcPr>
            <w:tcW w:w="969" w:type="pct"/>
            <w:vAlign w:val="center"/>
          </w:tcPr>
          <w:p>
            <w:pPr>
              <w:widowControl/>
              <w:jc w:val="center"/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港口智慧化水平</w:t>
            </w:r>
          </w:p>
        </w:tc>
        <w:tc>
          <w:tcPr>
            <w:tcW w:w="510" w:type="pct"/>
            <w:vAlign w:val="center"/>
          </w:tcPr>
          <w:p>
            <w:pPr>
              <w:widowControl/>
              <w:jc w:val="center"/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1192" w:type="pct"/>
            <w:vAlign w:val="center"/>
          </w:tcPr>
          <w:p>
            <w:pPr>
              <w:widowControl/>
              <w:jc w:val="center"/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企业上报，市级</w:t>
            </w:r>
            <w:r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交通局审核赋分</w:t>
            </w:r>
          </w:p>
        </w:tc>
        <w:tc>
          <w:tcPr>
            <w:tcW w:w="870" w:type="pct"/>
            <w:vAlign w:val="center"/>
          </w:tcPr>
          <w:p>
            <w:pPr>
              <w:widowControl/>
              <w:jc w:val="center"/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7" w:type="pct"/>
            <w:vAlign w:val="center"/>
          </w:tcPr>
          <w:p>
            <w:pPr>
              <w:widowControl/>
              <w:jc w:val="center"/>
              <w:rPr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Cs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</w:tr>
    </w:tbl>
    <w:p>
      <w:pPr>
        <w:adjustRightInd w:val="0"/>
        <w:snapToGrid w:val="0"/>
        <w:spacing w:line="590" w:lineRule="exact"/>
        <w:rPr>
          <w:rFonts w:eastAsia="黑体"/>
          <w:sz w:val="32"/>
          <w:szCs w:val="32"/>
        </w:rPr>
        <w:sectPr>
          <w:pgSz w:w="16838" w:h="11906" w:orient="landscape"/>
          <w:pgMar w:top="1797" w:right="1440" w:bottom="1797" w:left="1440" w:header="851" w:footer="992" w:gutter="0"/>
          <w:cols w:space="425" w:num="1"/>
          <w:docGrid w:type="linesAndChars" w:linePitch="312" w:charSpace="0"/>
        </w:sectPr>
      </w:pPr>
    </w:p>
    <w:p>
      <w:pPr>
        <w:adjustRightInd w:val="0"/>
        <w:snapToGrid w:val="0"/>
        <w:spacing w:line="590" w:lineRule="exact"/>
        <w:rPr>
          <w:rFonts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附件2</w:t>
      </w:r>
    </w:p>
    <w:p>
      <w:pPr>
        <w:adjustRightInd w:val="0"/>
        <w:snapToGrid w:val="0"/>
        <w:spacing w:line="590" w:lineRule="exact"/>
        <w:jc w:val="center"/>
        <w:rPr>
          <w:rFonts w:hint="default" w:ascii="Times New Roman" w:hAnsi="Times New Roman" w:eastAsia="方正小标宋_GBK" w:cs="Times New Roman"/>
          <w:b w:val="0"/>
          <w:bCs w:val="0"/>
          <w:sz w:val="36"/>
          <w:szCs w:val="36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color w:val="000000"/>
          <w:kern w:val="0"/>
          <w:sz w:val="36"/>
          <w:szCs w:val="36"/>
        </w:rPr>
        <w:t>2024年度江苏港口企业认定申报表</w:t>
      </w:r>
    </w:p>
    <w:tbl>
      <w:tblPr>
        <w:tblStyle w:val="9"/>
        <w:tblW w:w="13598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41"/>
        <w:gridCol w:w="496"/>
        <w:gridCol w:w="4216"/>
        <w:gridCol w:w="3827"/>
        <w:gridCol w:w="3118"/>
      </w:tblGrid>
      <w:tr>
        <w:trPr>
          <w:trHeight w:val="360" w:hRule="atLeast"/>
        </w:trPr>
        <w:tc>
          <w:tcPr>
            <w:tcW w:w="6653" w:type="dxa"/>
            <w:gridSpan w:val="3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信息</w:t>
            </w:r>
          </w:p>
        </w:tc>
        <w:tc>
          <w:tcPr>
            <w:tcW w:w="3827" w:type="dxa"/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内容</w:t>
            </w:r>
          </w:p>
        </w:tc>
        <w:tc>
          <w:tcPr>
            <w:tcW w:w="3118" w:type="dxa"/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1941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基本信息</w:t>
            </w:r>
          </w:p>
        </w:tc>
        <w:tc>
          <w:tcPr>
            <w:tcW w:w="49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bCs/>
                <w:color w:val="000000"/>
                <w:kern w:val="0"/>
                <w:szCs w:val="21"/>
              </w:rPr>
              <w:t>1</w:t>
            </w:r>
          </w:p>
        </w:tc>
        <w:tc>
          <w:tcPr>
            <w:tcW w:w="421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企业名称（盖章）</w:t>
            </w:r>
          </w:p>
        </w:tc>
        <w:tc>
          <w:tcPr>
            <w:tcW w:w="382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311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1941" w:type="dxa"/>
            <w:vMerge w:val="continue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49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bCs/>
                <w:color w:val="000000"/>
                <w:kern w:val="0"/>
                <w:szCs w:val="21"/>
              </w:rPr>
              <w:t>2</w:t>
            </w:r>
          </w:p>
        </w:tc>
        <w:tc>
          <w:tcPr>
            <w:tcW w:w="421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法定代表人</w:t>
            </w:r>
          </w:p>
        </w:tc>
        <w:tc>
          <w:tcPr>
            <w:tcW w:w="382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311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1941" w:type="dxa"/>
            <w:vMerge w:val="continue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49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bCs/>
                <w:color w:val="000000"/>
                <w:kern w:val="0"/>
                <w:szCs w:val="21"/>
              </w:rPr>
              <w:t>3</w:t>
            </w:r>
          </w:p>
        </w:tc>
        <w:tc>
          <w:tcPr>
            <w:tcW w:w="421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统一社会信用代码</w:t>
            </w:r>
          </w:p>
        </w:tc>
        <w:tc>
          <w:tcPr>
            <w:tcW w:w="382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311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1941" w:type="dxa"/>
            <w:vMerge w:val="continue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49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bCs/>
                <w:color w:val="000000"/>
                <w:kern w:val="0"/>
                <w:szCs w:val="21"/>
              </w:rPr>
              <w:t>4</w:t>
            </w:r>
          </w:p>
        </w:tc>
        <w:tc>
          <w:tcPr>
            <w:tcW w:w="421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港口经营许可证</w:t>
            </w:r>
          </w:p>
        </w:tc>
        <w:tc>
          <w:tcPr>
            <w:tcW w:w="382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311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1941" w:type="dxa"/>
            <w:vMerge w:val="continue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49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bCs/>
                <w:color w:val="000000"/>
                <w:kern w:val="0"/>
                <w:szCs w:val="21"/>
              </w:rPr>
              <w:t>5</w:t>
            </w:r>
          </w:p>
        </w:tc>
        <w:tc>
          <w:tcPr>
            <w:tcW w:w="421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认定申报联系人姓名</w:t>
            </w:r>
          </w:p>
        </w:tc>
        <w:tc>
          <w:tcPr>
            <w:tcW w:w="382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311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1941" w:type="dxa"/>
            <w:vMerge w:val="continue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49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bCs/>
                <w:color w:val="000000"/>
                <w:kern w:val="0"/>
                <w:szCs w:val="21"/>
              </w:rPr>
              <w:t>6</w:t>
            </w:r>
          </w:p>
        </w:tc>
        <w:tc>
          <w:tcPr>
            <w:tcW w:w="421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认定申报联系人电话</w:t>
            </w:r>
          </w:p>
        </w:tc>
        <w:tc>
          <w:tcPr>
            <w:tcW w:w="382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311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</w:trPr>
        <w:tc>
          <w:tcPr>
            <w:tcW w:w="1941" w:type="dxa"/>
            <w:vMerge w:val="continue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49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bCs/>
                <w:color w:val="000000"/>
                <w:kern w:val="0"/>
                <w:szCs w:val="21"/>
              </w:rPr>
              <w:t>7</w:t>
            </w:r>
          </w:p>
        </w:tc>
        <w:tc>
          <w:tcPr>
            <w:tcW w:w="421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地址</w:t>
            </w:r>
          </w:p>
        </w:tc>
        <w:tc>
          <w:tcPr>
            <w:tcW w:w="382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311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</w:trPr>
        <w:tc>
          <w:tcPr>
            <w:tcW w:w="1941" w:type="dxa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申报企业简介</w:t>
            </w:r>
          </w:p>
        </w:tc>
        <w:tc>
          <w:tcPr>
            <w:tcW w:w="49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bCs/>
                <w:color w:val="000000"/>
                <w:kern w:val="0"/>
                <w:szCs w:val="21"/>
              </w:rPr>
              <w:t>8</w:t>
            </w:r>
          </w:p>
        </w:tc>
        <w:tc>
          <w:tcPr>
            <w:tcW w:w="8043" w:type="dxa"/>
            <w:gridSpan w:val="2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311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1000字以内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" w:hRule="atLeast"/>
        </w:trPr>
        <w:tc>
          <w:tcPr>
            <w:tcW w:w="1941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企业规模指标</w:t>
            </w:r>
          </w:p>
        </w:tc>
        <w:tc>
          <w:tcPr>
            <w:tcW w:w="49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9</w:t>
            </w:r>
          </w:p>
        </w:tc>
        <w:tc>
          <w:tcPr>
            <w:tcW w:w="421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</w:rPr>
              <w:t>总资产（亿元）</w:t>
            </w:r>
          </w:p>
        </w:tc>
        <w:tc>
          <w:tcPr>
            <w:tcW w:w="382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311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941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49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1</w:t>
            </w:r>
            <w:r>
              <w:rPr>
                <w:bCs/>
                <w:color w:val="000000"/>
                <w:kern w:val="0"/>
                <w:szCs w:val="21"/>
              </w:rPr>
              <w:t>0</w:t>
            </w:r>
          </w:p>
        </w:tc>
        <w:tc>
          <w:tcPr>
            <w:tcW w:w="421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</w:rPr>
              <w:t>吞吐量（万吨）</w:t>
            </w:r>
          </w:p>
        </w:tc>
        <w:tc>
          <w:tcPr>
            <w:tcW w:w="382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311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941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49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/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11</w:t>
            </w:r>
          </w:p>
        </w:tc>
        <w:tc>
          <w:tcPr>
            <w:tcW w:w="421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吞吐量同比（%）</w:t>
            </w:r>
          </w:p>
        </w:tc>
        <w:tc>
          <w:tcPr>
            <w:tcW w:w="382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311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941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49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/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12</w:t>
            </w:r>
          </w:p>
        </w:tc>
        <w:tc>
          <w:tcPr>
            <w:tcW w:w="421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岸线利用效能</w:t>
            </w:r>
          </w:p>
        </w:tc>
        <w:tc>
          <w:tcPr>
            <w:tcW w:w="382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311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" w:hRule="atLeast"/>
        </w:trPr>
        <w:tc>
          <w:tcPr>
            <w:tcW w:w="1941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49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/>
                <w:bCs/>
                <w:color w:val="000000"/>
                <w:kern w:val="0"/>
                <w:szCs w:val="21"/>
              </w:rPr>
            </w:pPr>
            <w:r>
              <w:rPr>
                <w:bCs/>
                <w:color w:val="000000"/>
                <w:kern w:val="0"/>
                <w:szCs w:val="21"/>
              </w:rPr>
              <w:t>1</w:t>
            </w:r>
            <w:r>
              <w:rPr>
                <w:rFonts w:hint="eastAsia"/>
                <w:bCs/>
                <w:color w:val="000000"/>
                <w:kern w:val="0"/>
                <w:szCs w:val="21"/>
              </w:rPr>
              <w:t>3</w:t>
            </w:r>
          </w:p>
        </w:tc>
        <w:tc>
          <w:tcPr>
            <w:tcW w:w="421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</w:rPr>
              <w:t>营业收入（亿元）</w:t>
            </w:r>
          </w:p>
        </w:tc>
        <w:tc>
          <w:tcPr>
            <w:tcW w:w="382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311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" w:hRule="atLeast"/>
        </w:trPr>
        <w:tc>
          <w:tcPr>
            <w:tcW w:w="194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b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绿色港口指标</w:t>
            </w:r>
          </w:p>
        </w:tc>
        <w:tc>
          <w:tcPr>
            <w:tcW w:w="49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14</w:t>
            </w:r>
          </w:p>
        </w:tc>
        <w:tc>
          <w:tcPr>
            <w:tcW w:w="421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bCs/>
                <w:color w:val="000000"/>
                <w:kern w:val="0"/>
                <w:szCs w:val="21"/>
              </w:rPr>
              <w:t>绿色港口等级</w:t>
            </w:r>
          </w:p>
        </w:tc>
        <w:tc>
          <w:tcPr>
            <w:tcW w:w="382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  <w:tc>
          <w:tcPr>
            <w:tcW w:w="311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" w:hRule="atLeast"/>
        </w:trPr>
        <w:tc>
          <w:tcPr>
            <w:tcW w:w="194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安全港口指标</w:t>
            </w:r>
          </w:p>
        </w:tc>
        <w:tc>
          <w:tcPr>
            <w:tcW w:w="49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15</w:t>
            </w:r>
          </w:p>
        </w:tc>
        <w:tc>
          <w:tcPr>
            <w:tcW w:w="421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港口</w:t>
            </w:r>
            <w:r>
              <w:rPr>
                <w:bCs/>
                <w:color w:val="000000"/>
                <w:kern w:val="0"/>
                <w:szCs w:val="21"/>
              </w:rPr>
              <w:t>安全</w:t>
            </w:r>
            <w:r>
              <w:rPr>
                <w:rFonts w:hint="eastAsia"/>
                <w:bCs/>
                <w:color w:val="000000"/>
                <w:kern w:val="0"/>
                <w:szCs w:val="21"/>
              </w:rPr>
              <w:t>水平</w:t>
            </w:r>
          </w:p>
        </w:tc>
        <w:tc>
          <w:tcPr>
            <w:tcW w:w="382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-</w:t>
            </w:r>
          </w:p>
        </w:tc>
        <w:tc>
          <w:tcPr>
            <w:tcW w:w="311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具体填写表</w:t>
            </w:r>
            <w:r>
              <w:rPr>
                <w:bCs/>
                <w:color w:val="000000"/>
                <w:kern w:val="0"/>
                <w:szCs w:val="21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" w:hRule="atLeast"/>
        </w:trPr>
        <w:tc>
          <w:tcPr>
            <w:tcW w:w="194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智慧港口指标</w:t>
            </w:r>
          </w:p>
        </w:tc>
        <w:tc>
          <w:tcPr>
            <w:tcW w:w="49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16</w:t>
            </w:r>
          </w:p>
        </w:tc>
        <w:tc>
          <w:tcPr>
            <w:tcW w:w="421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 w:asciiTheme="minorEastAsia" w:hAnsiTheme="minorEastAsia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港口智慧化水平</w:t>
            </w:r>
          </w:p>
        </w:tc>
        <w:tc>
          <w:tcPr>
            <w:tcW w:w="382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bCs/>
                <w:color w:val="000000"/>
                <w:kern w:val="0"/>
                <w:szCs w:val="21"/>
              </w:rPr>
              <w:t>-</w:t>
            </w:r>
          </w:p>
        </w:tc>
        <w:tc>
          <w:tcPr>
            <w:tcW w:w="311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Cs/>
                <w:color w:val="000000"/>
                <w:kern w:val="0"/>
                <w:szCs w:val="21"/>
              </w:rPr>
            </w:pPr>
            <w:r>
              <w:rPr>
                <w:rFonts w:hint="eastAsia"/>
                <w:bCs/>
                <w:color w:val="000000"/>
                <w:kern w:val="0"/>
                <w:szCs w:val="21"/>
              </w:rPr>
              <w:t>具体填写表</w:t>
            </w:r>
            <w:r>
              <w:rPr>
                <w:bCs/>
                <w:color w:val="000000"/>
                <w:kern w:val="0"/>
                <w:szCs w:val="21"/>
              </w:rPr>
              <w:t>2</w:t>
            </w:r>
          </w:p>
        </w:tc>
      </w:tr>
    </w:tbl>
    <w:p>
      <w:pPr>
        <w:widowControl/>
        <w:jc w:val="center"/>
        <w:rPr>
          <w:rFonts w:ascii="楷体" w:hAnsi="楷体" w:eastAsia="楷体" w:cs="宋体"/>
          <w:color w:val="000000"/>
          <w:kern w:val="0"/>
          <w:sz w:val="28"/>
          <w:szCs w:val="28"/>
        </w:rPr>
      </w:pPr>
    </w:p>
    <w:p>
      <w:pPr>
        <w:widowControl/>
        <w:jc w:val="center"/>
        <w:rPr>
          <w:rFonts w:eastAsia="黑体"/>
          <w:sz w:val="32"/>
          <w:szCs w:val="32"/>
        </w:rPr>
      </w:pPr>
      <w:r>
        <w:rPr>
          <w:rFonts w:hint="default" w:ascii="Times New Roman" w:hAnsi="Times New Roman" w:eastAsia="方正小标宋_GBK" w:cs="Times New Roman"/>
          <w:color w:val="000000"/>
          <w:kern w:val="0"/>
          <w:sz w:val="28"/>
          <w:szCs w:val="28"/>
        </w:rPr>
        <w:t>附表1 港口安全水平</w:t>
      </w:r>
    </w:p>
    <w:tbl>
      <w:tblPr>
        <w:tblStyle w:val="9"/>
        <w:tblW w:w="1375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0"/>
        <w:gridCol w:w="4417"/>
        <w:gridCol w:w="6100"/>
        <w:gridCol w:w="20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5577" w:type="dxa"/>
            <w:gridSpan w:val="2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信息</w:t>
            </w:r>
          </w:p>
        </w:tc>
        <w:tc>
          <w:tcPr>
            <w:tcW w:w="61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等线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等线" w:hAnsi="等线" w:eastAsia="等线"/>
                <w:b/>
                <w:bCs/>
                <w:color w:val="000000"/>
                <w:kern w:val="0"/>
                <w:sz w:val="22"/>
                <w:szCs w:val="22"/>
              </w:rPr>
              <w:t>内容</w:t>
            </w:r>
          </w:p>
        </w:tc>
        <w:tc>
          <w:tcPr>
            <w:tcW w:w="207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等线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等线" w:hAnsi="等线" w:eastAsia="等线"/>
                <w:b/>
                <w:bCs/>
                <w:color w:val="000000"/>
                <w:kern w:val="0"/>
                <w:sz w:val="22"/>
                <w:szCs w:val="2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1160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4417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安全生产责任落实情况</w:t>
            </w:r>
          </w:p>
        </w:tc>
        <w:tc>
          <w:tcPr>
            <w:tcW w:w="6100" w:type="dxa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企业管理人员按照《安全法》要求配备，0.5分</w:t>
            </w:r>
          </w:p>
        </w:tc>
        <w:tc>
          <w:tcPr>
            <w:tcW w:w="2074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提供证明材料，设区市交通运输局审核赋分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160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417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6100" w:type="dxa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落实劳务用工一体化管理，0.5分</w:t>
            </w:r>
          </w:p>
        </w:tc>
        <w:tc>
          <w:tcPr>
            <w:tcW w:w="2074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160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417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6100" w:type="dxa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企业安全标准化达</w:t>
            </w:r>
            <w:bookmarkStart w:id="0" w:name="_GoBack"/>
            <w:bookmarkEnd w:id="0"/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标等级，0.5分</w:t>
            </w:r>
          </w:p>
        </w:tc>
        <w:tc>
          <w:tcPr>
            <w:tcW w:w="2074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160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417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6100" w:type="dxa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企业安全生产费用提取和使用情况，0.5分</w:t>
            </w:r>
          </w:p>
        </w:tc>
        <w:tc>
          <w:tcPr>
            <w:tcW w:w="2074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160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4417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设备设施本质安全情况</w:t>
            </w:r>
          </w:p>
        </w:tc>
        <w:tc>
          <w:tcPr>
            <w:tcW w:w="6100" w:type="dxa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港口设施技术状况评级，</w:t>
            </w:r>
            <w:r>
              <w:rPr>
                <w:rFonts w:ascii="宋体" w:hAnsi="宋体" w:cs="宋体"/>
                <w:color w:val="000000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分</w:t>
            </w:r>
          </w:p>
        </w:tc>
        <w:tc>
          <w:tcPr>
            <w:tcW w:w="2074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160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417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6100" w:type="dxa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码头检维修报告，0.5分</w:t>
            </w:r>
          </w:p>
        </w:tc>
        <w:tc>
          <w:tcPr>
            <w:tcW w:w="2074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160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417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6100" w:type="dxa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设备设施检维修报告，0.5分</w:t>
            </w:r>
          </w:p>
        </w:tc>
        <w:tc>
          <w:tcPr>
            <w:tcW w:w="2074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160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</w:t>
            </w:r>
          </w:p>
        </w:tc>
        <w:tc>
          <w:tcPr>
            <w:tcW w:w="4417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双重预防机制落实情况</w:t>
            </w:r>
          </w:p>
        </w:tc>
        <w:tc>
          <w:tcPr>
            <w:tcW w:w="6100" w:type="dxa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eastAsia="等线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风险辨识、评估报告及风险清单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，0.5分</w:t>
            </w:r>
          </w:p>
        </w:tc>
        <w:tc>
          <w:tcPr>
            <w:tcW w:w="2074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160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等线"/>
                <w:color w:val="000000"/>
                <w:kern w:val="0"/>
                <w:szCs w:val="21"/>
              </w:rPr>
            </w:pPr>
          </w:p>
        </w:tc>
        <w:tc>
          <w:tcPr>
            <w:tcW w:w="4417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6100" w:type="dxa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eastAsia="等线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建立风险分级管控制度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，0.5分</w:t>
            </w:r>
          </w:p>
        </w:tc>
        <w:tc>
          <w:tcPr>
            <w:tcW w:w="2074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</w:tbl>
    <w:p>
      <w:pPr>
        <w:widowControl/>
        <w:jc w:val="center"/>
        <w:rPr>
          <w:rFonts w:ascii="楷体" w:hAnsi="楷体" w:eastAsia="楷体" w:cs="宋体"/>
          <w:color w:val="000000"/>
          <w:kern w:val="0"/>
          <w:sz w:val="28"/>
          <w:szCs w:val="28"/>
        </w:rPr>
      </w:pPr>
      <w:r>
        <w:rPr>
          <w:rFonts w:hint="default" w:ascii="Times New Roman" w:hAnsi="Times New Roman" w:eastAsia="方正小标宋_GBK" w:cs="Times New Roman"/>
          <w:color w:val="000000"/>
          <w:kern w:val="0"/>
          <w:sz w:val="28"/>
          <w:szCs w:val="28"/>
        </w:rPr>
        <w:t>附表2 港口智慧化水平</w:t>
      </w:r>
    </w:p>
    <w:tbl>
      <w:tblPr>
        <w:tblStyle w:val="9"/>
        <w:tblW w:w="1369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5"/>
        <w:gridCol w:w="3518"/>
        <w:gridCol w:w="6954"/>
        <w:gridCol w:w="20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4673" w:type="dxa"/>
            <w:gridSpan w:val="2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信息</w:t>
            </w:r>
          </w:p>
        </w:tc>
        <w:tc>
          <w:tcPr>
            <w:tcW w:w="695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等线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等线" w:hAnsi="等线" w:eastAsia="等线"/>
                <w:b/>
                <w:bCs/>
                <w:color w:val="000000"/>
                <w:kern w:val="0"/>
                <w:szCs w:val="21"/>
              </w:rPr>
              <w:t>内容</w:t>
            </w:r>
          </w:p>
        </w:tc>
        <w:tc>
          <w:tcPr>
            <w:tcW w:w="206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等线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等线" w:hAnsi="等线" w:eastAsia="等线"/>
                <w:b/>
                <w:bCs/>
                <w:color w:val="000000"/>
                <w:kern w:val="0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1155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3518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港口生产作业流程可视化自动化建设情况</w:t>
            </w:r>
          </w:p>
        </w:tc>
        <w:tc>
          <w:tcPr>
            <w:tcW w:w="695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码头装卸、运输、堆场作业可视化情况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，1分</w:t>
            </w:r>
          </w:p>
        </w:tc>
        <w:tc>
          <w:tcPr>
            <w:tcW w:w="2065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提供证明材料，设区市交通运输局审核赋分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</w:trPr>
        <w:tc>
          <w:tcPr>
            <w:tcW w:w="1155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518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695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生产调度智慧化、智能理货应用情况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，0.5分</w:t>
            </w:r>
          </w:p>
        </w:tc>
        <w:tc>
          <w:tcPr>
            <w:tcW w:w="2065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</w:trPr>
        <w:tc>
          <w:tcPr>
            <w:tcW w:w="1155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518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695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码头装卸、运输、堆场作业可视化情况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，0.5分</w:t>
            </w:r>
          </w:p>
        </w:tc>
        <w:tc>
          <w:tcPr>
            <w:tcW w:w="2065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</w:trPr>
        <w:tc>
          <w:tcPr>
            <w:tcW w:w="1155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3518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港口管理数字化智能化建设情况</w:t>
            </w:r>
          </w:p>
        </w:tc>
        <w:tc>
          <w:tcPr>
            <w:tcW w:w="695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设备资产管理系统与港口码头数字化覆盖情况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，0.5分</w:t>
            </w:r>
          </w:p>
        </w:tc>
        <w:tc>
          <w:tcPr>
            <w:tcW w:w="2065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</w:trPr>
        <w:tc>
          <w:tcPr>
            <w:tcW w:w="1155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518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695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安全绿色管理与生产调度管理功能协同开发应用情况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，0.5分</w:t>
            </w:r>
          </w:p>
        </w:tc>
        <w:tc>
          <w:tcPr>
            <w:tcW w:w="2065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</w:trPr>
        <w:tc>
          <w:tcPr>
            <w:tcW w:w="1155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518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695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与口岸管理、铁路联运系统联网运行情况，1分</w:t>
            </w:r>
          </w:p>
        </w:tc>
        <w:tc>
          <w:tcPr>
            <w:tcW w:w="2065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</w:trPr>
        <w:tc>
          <w:tcPr>
            <w:tcW w:w="1155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3518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695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网络安全管理与系统稳定可靠运行情况，1分</w:t>
            </w:r>
          </w:p>
        </w:tc>
        <w:tc>
          <w:tcPr>
            <w:tcW w:w="2065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</w:tbl>
    <w:p>
      <w:pPr>
        <w:widowControl/>
        <w:spacing w:line="20" w:lineRule="exact"/>
        <w:jc w:val="left"/>
        <w:rPr>
          <w:rFonts w:eastAsia="黑体"/>
          <w:sz w:val="32"/>
          <w:szCs w:val="32"/>
        </w:rPr>
      </w:pPr>
    </w:p>
    <w:sectPr>
      <w:headerReference r:id="rId4" w:type="default"/>
      <w:footerReference r:id="rId5" w:type="default"/>
      <w:pgSz w:w="16838" w:h="11906" w:orient="landscape"/>
      <w:pgMar w:top="1797" w:right="1440" w:bottom="1623" w:left="1440" w:header="851" w:footer="992" w:gutter="0"/>
      <w:cols w:space="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华文隶书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439450095"/>
    </w:sdtPr>
    <w:sdtContent>
      <w:p>
        <w:pPr>
          <w:pStyle w:val="5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16</w:t>
        </w:r>
        <w:r>
          <w:fldChar w:fldCharType="end"/>
        </w:r>
      </w:p>
    </w:sdtContent>
  </w:sdt>
  <w:p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835882690"/>
    </w:sdtPr>
    <w:sdtContent>
      <w:p>
        <w:pPr>
          <w:pStyle w:val="5"/>
          <w:ind w:firstLine="360"/>
          <w:jc w:val="center"/>
        </w:pPr>
        <w:r>
          <w:rPr>
            <w:sz w:val="24"/>
          </w:rPr>
          <w:fldChar w:fldCharType="begin"/>
        </w:r>
        <w:r>
          <w:rPr>
            <w:sz w:val="24"/>
          </w:rPr>
          <w:instrText xml:space="preserve">PAGE   \* MERGEFORMAT</w:instrText>
        </w:r>
        <w:r>
          <w:rPr>
            <w:sz w:val="24"/>
          </w:rPr>
          <w:fldChar w:fldCharType="separate"/>
        </w:r>
        <w:r>
          <w:rPr>
            <w:sz w:val="24"/>
            <w:lang w:val="zh-CN"/>
          </w:rPr>
          <w:t>22</w:t>
        </w:r>
        <w:r>
          <w:rPr>
            <w:sz w:val="24"/>
          </w:rPr>
          <w:fldChar w:fldCharType="end"/>
        </w:r>
      </w:p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EFB2A77"/>
    <w:multiLevelType w:val="singleLevel"/>
    <w:tmpl w:val="BEFB2A77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mZlZTdmY2RiZmQzYjI1NDA0NjU2ZmVjNDY3ZGI1NWIifQ=="/>
  </w:docVars>
  <w:rsids>
    <w:rsidRoot w:val="00433F56"/>
    <w:rsid w:val="00002198"/>
    <w:rsid w:val="0000569C"/>
    <w:rsid w:val="000133A4"/>
    <w:rsid w:val="00016054"/>
    <w:rsid w:val="00035060"/>
    <w:rsid w:val="000369D9"/>
    <w:rsid w:val="0004028D"/>
    <w:rsid w:val="000414D7"/>
    <w:rsid w:val="00042EF6"/>
    <w:rsid w:val="000503C5"/>
    <w:rsid w:val="00050CC6"/>
    <w:rsid w:val="00052643"/>
    <w:rsid w:val="00053D19"/>
    <w:rsid w:val="00055D46"/>
    <w:rsid w:val="0005693D"/>
    <w:rsid w:val="000605C0"/>
    <w:rsid w:val="00060ED2"/>
    <w:rsid w:val="00061DC3"/>
    <w:rsid w:val="00066A12"/>
    <w:rsid w:val="000840E3"/>
    <w:rsid w:val="00086DF7"/>
    <w:rsid w:val="0008754F"/>
    <w:rsid w:val="0009259C"/>
    <w:rsid w:val="000A4744"/>
    <w:rsid w:val="000A6005"/>
    <w:rsid w:val="000A794F"/>
    <w:rsid w:val="000B0FDD"/>
    <w:rsid w:val="000B2B50"/>
    <w:rsid w:val="000B2F67"/>
    <w:rsid w:val="000C1557"/>
    <w:rsid w:val="000C687E"/>
    <w:rsid w:val="000C732C"/>
    <w:rsid w:val="000D12A5"/>
    <w:rsid w:val="000D13C1"/>
    <w:rsid w:val="000D3C24"/>
    <w:rsid w:val="000D3F7B"/>
    <w:rsid w:val="000D466C"/>
    <w:rsid w:val="000D7647"/>
    <w:rsid w:val="000E1B18"/>
    <w:rsid w:val="000F0574"/>
    <w:rsid w:val="000F0E05"/>
    <w:rsid w:val="000F669B"/>
    <w:rsid w:val="0010233D"/>
    <w:rsid w:val="001055EE"/>
    <w:rsid w:val="00114FFA"/>
    <w:rsid w:val="001153DB"/>
    <w:rsid w:val="00121DA6"/>
    <w:rsid w:val="0012232B"/>
    <w:rsid w:val="001232A1"/>
    <w:rsid w:val="0012416D"/>
    <w:rsid w:val="001304A2"/>
    <w:rsid w:val="001316D1"/>
    <w:rsid w:val="001329A6"/>
    <w:rsid w:val="00135C8A"/>
    <w:rsid w:val="00137911"/>
    <w:rsid w:val="00150BD8"/>
    <w:rsid w:val="001542D7"/>
    <w:rsid w:val="001700CF"/>
    <w:rsid w:val="00172DCD"/>
    <w:rsid w:val="00177721"/>
    <w:rsid w:val="00183B88"/>
    <w:rsid w:val="00185765"/>
    <w:rsid w:val="00194030"/>
    <w:rsid w:val="0019585D"/>
    <w:rsid w:val="001971D2"/>
    <w:rsid w:val="001A012B"/>
    <w:rsid w:val="001A2518"/>
    <w:rsid w:val="001A424C"/>
    <w:rsid w:val="001A4947"/>
    <w:rsid w:val="001A5B17"/>
    <w:rsid w:val="001A641D"/>
    <w:rsid w:val="001B5010"/>
    <w:rsid w:val="001B63E6"/>
    <w:rsid w:val="001C64EC"/>
    <w:rsid w:val="001D02FB"/>
    <w:rsid w:val="001D1DE9"/>
    <w:rsid w:val="001D22FB"/>
    <w:rsid w:val="001D4AED"/>
    <w:rsid w:val="001D70CC"/>
    <w:rsid w:val="001E03BF"/>
    <w:rsid w:val="001E1BF4"/>
    <w:rsid w:val="001F72A5"/>
    <w:rsid w:val="00201F78"/>
    <w:rsid w:val="002142A1"/>
    <w:rsid w:val="00214337"/>
    <w:rsid w:val="0022312E"/>
    <w:rsid w:val="0022395A"/>
    <w:rsid w:val="00227ECF"/>
    <w:rsid w:val="002313D3"/>
    <w:rsid w:val="00232886"/>
    <w:rsid w:val="00233CEB"/>
    <w:rsid w:val="0023472E"/>
    <w:rsid w:val="00254542"/>
    <w:rsid w:val="0026109B"/>
    <w:rsid w:val="00263B08"/>
    <w:rsid w:val="00264F59"/>
    <w:rsid w:val="00266859"/>
    <w:rsid w:val="00270B9C"/>
    <w:rsid w:val="0027616E"/>
    <w:rsid w:val="002766F5"/>
    <w:rsid w:val="00276B3E"/>
    <w:rsid w:val="00285713"/>
    <w:rsid w:val="0029059D"/>
    <w:rsid w:val="00291A3E"/>
    <w:rsid w:val="00293EA4"/>
    <w:rsid w:val="002977D0"/>
    <w:rsid w:val="002A1FCD"/>
    <w:rsid w:val="002B4FFA"/>
    <w:rsid w:val="002C11F9"/>
    <w:rsid w:val="002C12B5"/>
    <w:rsid w:val="002C1700"/>
    <w:rsid w:val="002D2D1B"/>
    <w:rsid w:val="002D533C"/>
    <w:rsid w:val="002D5E39"/>
    <w:rsid w:val="002D6047"/>
    <w:rsid w:val="002D68B6"/>
    <w:rsid w:val="002E30CD"/>
    <w:rsid w:val="002E3957"/>
    <w:rsid w:val="002E3D70"/>
    <w:rsid w:val="002E5239"/>
    <w:rsid w:val="002E70EB"/>
    <w:rsid w:val="002E71DD"/>
    <w:rsid w:val="002F177E"/>
    <w:rsid w:val="002F71E7"/>
    <w:rsid w:val="00310AEE"/>
    <w:rsid w:val="00317B69"/>
    <w:rsid w:val="0032567B"/>
    <w:rsid w:val="00330B32"/>
    <w:rsid w:val="00330E30"/>
    <w:rsid w:val="003310D4"/>
    <w:rsid w:val="00331DE3"/>
    <w:rsid w:val="00332844"/>
    <w:rsid w:val="00336888"/>
    <w:rsid w:val="003368FC"/>
    <w:rsid w:val="00341AA4"/>
    <w:rsid w:val="0035008D"/>
    <w:rsid w:val="003506EE"/>
    <w:rsid w:val="003545A5"/>
    <w:rsid w:val="00355B90"/>
    <w:rsid w:val="00362F8A"/>
    <w:rsid w:val="00364635"/>
    <w:rsid w:val="00367712"/>
    <w:rsid w:val="0037225E"/>
    <w:rsid w:val="00373604"/>
    <w:rsid w:val="00374205"/>
    <w:rsid w:val="003746B7"/>
    <w:rsid w:val="00375175"/>
    <w:rsid w:val="0038313F"/>
    <w:rsid w:val="0038318D"/>
    <w:rsid w:val="00384CC4"/>
    <w:rsid w:val="00386200"/>
    <w:rsid w:val="00387EF2"/>
    <w:rsid w:val="0039206C"/>
    <w:rsid w:val="00392EE7"/>
    <w:rsid w:val="0039315E"/>
    <w:rsid w:val="00393659"/>
    <w:rsid w:val="003A2E24"/>
    <w:rsid w:val="003A3E31"/>
    <w:rsid w:val="003A57A2"/>
    <w:rsid w:val="003B0DDE"/>
    <w:rsid w:val="003B315B"/>
    <w:rsid w:val="003B7855"/>
    <w:rsid w:val="003C30F1"/>
    <w:rsid w:val="003C4E1E"/>
    <w:rsid w:val="003C74C0"/>
    <w:rsid w:val="003D155C"/>
    <w:rsid w:val="003D20BC"/>
    <w:rsid w:val="003E38C1"/>
    <w:rsid w:val="003E5788"/>
    <w:rsid w:val="003E58C8"/>
    <w:rsid w:val="003F0E78"/>
    <w:rsid w:val="00400F9C"/>
    <w:rsid w:val="004027A2"/>
    <w:rsid w:val="00404631"/>
    <w:rsid w:val="0041418A"/>
    <w:rsid w:val="004146BE"/>
    <w:rsid w:val="00433D7F"/>
    <w:rsid w:val="00433F56"/>
    <w:rsid w:val="00443C11"/>
    <w:rsid w:val="00443C49"/>
    <w:rsid w:val="004444CD"/>
    <w:rsid w:val="00447F78"/>
    <w:rsid w:val="004517F4"/>
    <w:rsid w:val="00452FD2"/>
    <w:rsid w:val="004548F7"/>
    <w:rsid w:val="004706AA"/>
    <w:rsid w:val="0047197A"/>
    <w:rsid w:val="00476199"/>
    <w:rsid w:val="00481743"/>
    <w:rsid w:val="00483958"/>
    <w:rsid w:val="00485B7D"/>
    <w:rsid w:val="00491FE6"/>
    <w:rsid w:val="004923E1"/>
    <w:rsid w:val="004961C8"/>
    <w:rsid w:val="004A26CA"/>
    <w:rsid w:val="004A38FE"/>
    <w:rsid w:val="004A4C50"/>
    <w:rsid w:val="004A5127"/>
    <w:rsid w:val="004A7755"/>
    <w:rsid w:val="004B5B92"/>
    <w:rsid w:val="004B5E6C"/>
    <w:rsid w:val="004B6707"/>
    <w:rsid w:val="004B74FD"/>
    <w:rsid w:val="004B7FBB"/>
    <w:rsid w:val="004C165E"/>
    <w:rsid w:val="004C1C77"/>
    <w:rsid w:val="004C5E37"/>
    <w:rsid w:val="004C72D7"/>
    <w:rsid w:val="004C7D3E"/>
    <w:rsid w:val="004D316E"/>
    <w:rsid w:val="004E1C58"/>
    <w:rsid w:val="004E1EA6"/>
    <w:rsid w:val="004F107A"/>
    <w:rsid w:val="004F2AC7"/>
    <w:rsid w:val="004F6D58"/>
    <w:rsid w:val="004F7155"/>
    <w:rsid w:val="004F724B"/>
    <w:rsid w:val="00501D8B"/>
    <w:rsid w:val="00502103"/>
    <w:rsid w:val="00503923"/>
    <w:rsid w:val="00507A3D"/>
    <w:rsid w:val="00517796"/>
    <w:rsid w:val="00522470"/>
    <w:rsid w:val="00523637"/>
    <w:rsid w:val="00524A4F"/>
    <w:rsid w:val="00524DEE"/>
    <w:rsid w:val="005319E2"/>
    <w:rsid w:val="00533C0E"/>
    <w:rsid w:val="00534E0E"/>
    <w:rsid w:val="00535481"/>
    <w:rsid w:val="00536720"/>
    <w:rsid w:val="00536F2A"/>
    <w:rsid w:val="00554953"/>
    <w:rsid w:val="005554E8"/>
    <w:rsid w:val="005665A4"/>
    <w:rsid w:val="00566F6B"/>
    <w:rsid w:val="00567062"/>
    <w:rsid w:val="00575911"/>
    <w:rsid w:val="0058187F"/>
    <w:rsid w:val="00583A02"/>
    <w:rsid w:val="00587836"/>
    <w:rsid w:val="00590D8F"/>
    <w:rsid w:val="00595860"/>
    <w:rsid w:val="00596880"/>
    <w:rsid w:val="005A4B38"/>
    <w:rsid w:val="005A4FA7"/>
    <w:rsid w:val="005A5E61"/>
    <w:rsid w:val="005B053E"/>
    <w:rsid w:val="005B192D"/>
    <w:rsid w:val="005B1B18"/>
    <w:rsid w:val="005B2454"/>
    <w:rsid w:val="005B2941"/>
    <w:rsid w:val="005B5026"/>
    <w:rsid w:val="005C6BC4"/>
    <w:rsid w:val="005D449A"/>
    <w:rsid w:val="005E1BC6"/>
    <w:rsid w:val="005E5FDE"/>
    <w:rsid w:val="005E7AA2"/>
    <w:rsid w:val="005F1029"/>
    <w:rsid w:val="005F205A"/>
    <w:rsid w:val="005F2188"/>
    <w:rsid w:val="0061490D"/>
    <w:rsid w:val="0062078A"/>
    <w:rsid w:val="00623A4A"/>
    <w:rsid w:val="00623F4E"/>
    <w:rsid w:val="0062621F"/>
    <w:rsid w:val="00626835"/>
    <w:rsid w:val="006270F0"/>
    <w:rsid w:val="00630149"/>
    <w:rsid w:val="00631384"/>
    <w:rsid w:val="006364E2"/>
    <w:rsid w:val="006421AF"/>
    <w:rsid w:val="0064633C"/>
    <w:rsid w:val="006643F5"/>
    <w:rsid w:val="00665DBC"/>
    <w:rsid w:val="00676E2B"/>
    <w:rsid w:val="00680431"/>
    <w:rsid w:val="00685A0C"/>
    <w:rsid w:val="00692228"/>
    <w:rsid w:val="0069241B"/>
    <w:rsid w:val="0069659F"/>
    <w:rsid w:val="00696AEF"/>
    <w:rsid w:val="00697B8E"/>
    <w:rsid w:val="006A6B93"/>
    <w:rsid w:val="006A7BEF"/>
    <w:rsid w:val="006B43BA"/>
    <w:rsid w:val="006C42E1"/>
    <w:rsid w:val="006C5C5F"/>
    <w:rsid w:val="006C782D"/>
    <w:rsid w:val="006D5732"/>
    <w:rsid w:val="006D77DD"/>
    <w:rsid w:val="006D7CD6"/>
    <w:rsid w:val="006E1186"/>
    <w:rsid w:val="006F183B"/>
    <w:rsid w:val="006F3B02"/>
    <w:rsid w:val="006F45E5"/>
    <w:rsid w:val="006F5DC6"/>
    <w:rsid w:val="006F7080"/>
    <w:rsid w:val="00705BC6"/>
    <w:rsid w:val="00721AA1"/>
    <w:rsid w:val="007225E7"/>
    <w:rsid w:val="00722B77"/>
    <w:rsid w:val="007233CA"/>
    <w:rsid w:val="00745E97"/>
    <w:rsid w:val="00751A01"/>
    <w:rsid w:val="0075504D"/>
    <w:rsid w:val="00755522"/>
    <w:rsid w:val="00760471"/>
    <w:rsid w:val="007626F5"/>
    <w:rsid w:val="00763922"/>
    <w:rsid w:val="00767F79"/>
    <w:rsid w:val="00773673"/>
    <w:rsid w:val="00775980"/>
    <w:rsid w:val="007910BE"/>
    <w:rsid w:val="00792074"/>
    <w:rsid w:val="00795B90"/>
    <w:rsid w:val="00795C65"/>
    <w:rsid w:val="00796EF5"/>
    <w:rsid w:val="00797D5B"/>
    <w:rsid w:val="007A0261"/>
    <w:rsid w:val="007A0E6C"/>
    <w:rsid w:val="007A59EA"/>
    <w:rsid w:val="007B2908"/>
    <w:rsid w:val="007B5D30"/>
    <w:rsid w:val="007C11FA"/>
    <w:rsid w:val="007C2B5F"/>
    <w:rsid w:val="007C452C"/>
    <w:rsid w:val="007C62E5"/>
    <w:rsid w:val="007D194B"/>
    <w:rsid w:val="007D1B41"/>
    <w:rsid w:val="007D2883"/>
    <w:rsid w:val="007D3C74"/>
    <w:rsid w:val="007D60C9"/>
    <w:rsid w:val="007D7930"/>
    <w:rsid w:val="007D7A06"/>
    <w:rsid w:val="007E30FA"/>
    <w:rsid w:val="007E7523"/>
    <w:rsid w:val="007E7B63"/>
    <w:rsid w:val="007F3CEF"/>
    <w:rsid w:val="007F5ED7"/>
    <w:rsid w:val="008017F2"/>
    <w:rsid w:val="008018FB"/>
    <w:rsid w:val="00806CEB"/>
    <w:rsid w:val="00807855"/>
    <w:rsid w:val="008135DF"/>
    <w:rsid w:val="00816976"/>
    <w:rsid w:val="00816A1A"/>
    <w:rsid w:val="00817921"/>
    <w:rsid w:val="00822F23"/>
    <w:rsid w:val="0082316A"/>
    <w:rsid w:val="0082328B"/>
    <w:rsid w:val="00824679"/>
    <w:rsid w:val="00824EDF"/>
    <w:rsid w:val="00825410"/>
    <w:rsid w:val="0082678D"/>
    <w:rsid w:val="00836F2E"/>
    <w:rsid w:val="008418B6"/>
    <w:rsid w:val="0084205B"/>
    <w:rsid w:val="00843EB8"/>
    <w:rsid w:val="0084548E"/>
    <w:rsid w:val="00847A7B"/>
    <w:rsid w:val="00854765"/>
    <w:rsid w:val="00856C05"/>
    <w:rsid w:val="00860838"/>
    <w:rsid w:val="0086124D"/>
    <w:rsid w:val="0086258F"/>
    <w:rsid w:val="008649E4"/>
    <w:rsid w:val="008703E6"/>
    <w:rsid w:val="00870DDA"/>
    <w:rsid w:val="00883E19"/>
    <w:rsid w:val="00884B0E"/>
    <w:rsid w:val="00891109"/>
    <w:rsid w:val="00894092"/>
    <w:rsid w:val="008A76E2"/>
    <w:rsid w:val="008B1C84"/>
    <w:rsid w:val="008B215F"/>
    <w:rsid w:val="008B2982"/>
    <w:rsid w:val="008B3288"/>
    <w:rsid w:val="008B6228"/>
    <w:rsid w:val="008B63F0"/>
    <w:rsid w:val="008B7640"/>
    <w:rsid w:val="008C3D1F"/>
    <w:rsid w:val="008C5184"/>
    <w:rsid w:val="008C630A"/>
    <w:rsid w:val="008D1D76"/>
    <w:rsid w:val="008D2FA4"/>
    <w:rsid w:val="008D473B"/>
    <w:rsid w:val="008D78E6"/>
    <w:rsid w:val="008E5CF3"/>
    <w:rsid w:val="008E675E"/>
    <w:rsid w:val="008F0E46"/>
    <w:rsid w:val="008F1607"/>
    <w:rsid w:val="008F3968"/>
    <w:rsid w:val="008F5B40"/>
    <w:rsid w:val="008F603C"/>
    <w:rsid w:val="00903611"/>
    <w:rsid w:val="00903BE0"/>
    <w:rsid w:val="00903D49"/>
    <w:rsid w:val="00905C1C"/>
    <w:rsid w:val="00906162"/>
    <w:rsid w:val="00907760"/>
    <w:rsid w:val="00913B28"/>
    <w:rsid w:val="00914D9E"/>
    <w:rsid w:val="0091634B"/>
    <w:rsid w:val="00926A73"/>
    <w:rsid w:val="00933CCF"/>
    <w:rsid w:val="00934B26"/>
    <w:rsid w:val="009471D7"/>
    <w:rsid w:val="00951276"/>
    <w:rsid w:val="0095222F"/>
    <w:rsid w:val="0095289C"/>
    <w:rsid w:val="00953560"/>
    <w:rsid w:val="009535C5"/>
    <w:rsid w:val="00955776"/>
    <w:rsid w:val="00956532"/>
    <w:rsid w:val="00961B51"/>
    <w:rsid w:val="0096411D"/>
    <w:rsid w:val="00964386"/>
    <w:rsid w:val="00966C3A"/>
    <w:rsid w:val="00981BDE"/>
    <w:rsid w:val="00981DD7"/>
    <w:rsid w:val="0098463D"/>
    <w:rsid w:val="00990A58"/>
    <w:rsid w:val="0099112C"/>
    <w:rsid w:val="00992F1C"/>
    <w:rsid w:val="009943C8"/>
    <w:rsid w:val="009A27C7"/>
    <w:rsid w:val="009A4024"/>
    <w:rsid w:val="009A4462"/>
    <w:rsid w:val="009B1C98"/>
    <w:rsid w:val="009B77FA"/>
    <w:rsid w:val="009C6448"/>
    <w:rsid w:val="009C73AA"/>
    <w:rsid w:val="009D164F"/>
    <w:rsid w:val="009D5E71"/>
    <w:rsid w:val="009D78FE"/>
    <w:rsid w:val="009E1C3F"/>
    <w:rsid w:val="009E58F3"/>
    <w:rsid w:val="009F11BF"/>
    <w:rsid w:val="009F20B2"/>
    <w:rsid w:val="00A04F50"/>
    <w:rsid w:val="00A12074"/>
    <w:rsid w:val="00A12E4F"/>
    <w:rsid w:val="00A2356E"/>
    <w:rsid w:val="00A25E70"/>
    <w:rsid w:val="00A27BF7"/>
    <w:rsid w:val="00A4254E"/>
    <w:rsid w:val="00A506B5"/>
    <w:rsid w:val="00A5160F"/>
    <w:rsid w:val="00A5392D"/>
    <w:rsid w:val="00A54C84"/>
    <w:rsid w:val="00A54F4F"/>
    <w:rsid w:val="00A579B9"/>
    <w:rsid w:val="00A81DF6"/>
    <w:rsid w:val="00A85FA1"/>
    <w:rsid w:val="00A908B9"/>
    <w:rsid w:val="00AA0679"/>
    <w:rsid w:val="00AC1CDD"/>
    <w:rsid w:val="00AC7482"/>
    <w:rsid w:val="00AD1143"/>
    <w:rsid w:val="00AE4CC7"/>
    <w:rsid w:val="00AE5355"/>
    <w:rsid w:val="00B035AF"/>
    <w:rsid w:val="00B0496E"/>
    <w:rsid w:val="00B04EDE"/>
    <w:rsid w:val="00B05ED3"/>
    <w:rsid w:val="00B0659D"/>
    <w:rsid w:val="00B11FFD"/>
    <w:rsid w:val="00B13833"/>
    <w:rsid w:val="00B218D3"/>
    <w:rsid w:val="00B22127"/>
    <w:rsid w:val="00B2351D"/>
    <w:rsid w:val="00B334FC"/>
    <w:rsid w:val="00B37CE3"/>
    <w:rsid w:val="00B40612"/>
    <w:rsid w:val="00B4082B"/>
    <w:rsid w:val="00B40A82"/>
    <w:rsid w:val="00B418A4"/>
    <w:rsid w:val="00B43E73"/>
    <w:rsid w:val="00B52530"/>
    <w:rsid w:val="00B55059"/>
    <w:rsid w:val="00B6677F"/>
    <w:rsid w:val="00B722B4"/>
    <w:rsid w:val="00B816DB"/>
    <w:rsid w:val="00B81E59"/>
    <w:rsid w:val="00B851F5"/>
    <w:rsid w:val="00B913FB"/>
    <w:rsid w:val="00B96114"/>
    <w:rsid w:val="00B97871"/>
    <w:rsid w:val="00B97D2E"/>
    <w:rsid w:val="00BB0617"/>
    <w:rsid w:val="00BB64DD"/>
    <w:rsid w:val="00BC2CC9"/>
    <w:rsid w:val="00BC48A6"/>
    <w:rsid w:val="00BD0303"/>
    <w:rsid w:val="00BD30F3"/>
    <w:rsid w:val="00BF1C40"/>
    <w:rsid w:val="00BF34BB"/>
    <w:rsid w:val="00BF4D82"/>
    <w:rsid w:val="00C04CFB"/>
    <w:rsid w:val="00C054A0"/>
    <w:rsid w:val="00C07E5C"/>
    <w:rsid w:val="00C11F84"/>
    <w:rsid w:val="00C12DDE"/>
    <w:rsid w:val="00C12F61"/>
    <w:rsid w:val="00C22FEC"/>
    <w:rsid w:val="00C33060"/>
    <w:rsid w:val="00C33778"/>
    <w:rsid w:val="00C37829"/>
    <w:rsid w:val="00C37BC7"/>
    <w:rsid w:val="00C43059"/>
    <w:rsid w:val="00C44363"/>
    <w:rsid w:val="00C45A48"/>
    <w:rsid w:val="00C54A35"/>
    <w:rsid w:val="00C54A3C"/>
    <w:rsid w:val="00C5503A"/>
    <w:rsid w:val="00C630AC"/>
    <w:rsid w:val="00C70161"/>
    <w:rsid w:val="00C74220"/>
    <w:rsid w:val="00C74CAB"/>
    <w:rsid w:val="00C74D84"/>
    <w:rsid w:val="00C90815"/>
    <w:rsid w:val="00C91D30"/>
    <w:rsid w:val="00C92EA7"/>
    <w:rsid w:val="00C94513"/>
    <w:rsid w:val="00CA6BD3"/>
    <w:rsid w:val="00CB0050"/>
    <w:rsid w:val="00CB3B90"/>
    <w:rsid w:val="00CC266A"/>
    <w:rsid w:val="00CC419E"/>
    <w:rsid w:val="00CC71F8"/>
    <w:rsid w:val="00CD0580"/>
    <w:rsid w:val="00CE0952"/>
    <w:rsid w:val="00CE3AEC"/>
    <w:rsid w:val="00CE421E"/>
    <w:rsid w:val="00CE431E"/>
    <w:rsid w:val="00CE5A1D"/>
    <w:rsid w:val="00CF042F"/>
    <w:rsid w:val="00CF3B08"/>
    <w:rsid w:val="00CF7287"/>
    <w:rsid w:val="00D03C10"/>
    <w:rsid w:val="00D0667A"/>
    <w:rsid w:val="00D06B5F"/>
    <w:rsid w:val="00D15CC8"/>
    <w:rsid w:val="00D209E0"/>
    <w:rsid w:val="00D2266A"/>
    <w:rsid w:val="00D2384D"/>
    <w:rsid w:val="00D25672"/>
    <w:rsid w:val="00D33664"/>
    <w:rsid w:val="00D40C7F"/>
    <w:rsid w:val="00D439D0"/>
    <w:rsid w:val="00D46792"/>
    <w:rsid w:val="00D47546"/>
    <w:rsid w:val="00D568E6"/>
    <w:rsid w:val="00D62104"/>
    <w:rsid w:val="00D640C2"/>
    <w:rsid w:val="00D71211"/>
    <w:rsid w:val="00D71A0F"/>
    <w:rsid w:val="00D837E6"/>
    <w:rsid w:val="00D84137"/>
    <w:rsid w:val="00D96E36"/>
    <w:rsid w:val="00D9747A"/>
    <w:rsid w:val="00DA0572"/>
    <w:rsid w:val="00DA2B5B"/>
    <w:rsid w:val="00DA44D6"/>
    <w:rsid w:val="00DD10C5"/>
    <w:rsid w:val="00DD4DD2"/>
    <w:rsid w:val="00DE62BA"/>
    <w:rsid w:val="00DE75DA"/>
    <w:rsid w:val="00DF02B7"/>
    <w:rsid w:val="00DF616F"/>
    <w:rsid w:val="00E02F52"/>
    <w:rsid w:val="00E07EC0"/>
    <w:rsid w:val="00E1040B"/>
    <w:rsid w:val="00E11592"/>
    <w:rsid w:val="00E14D3C"/>
    <w:rsid w:val="00E24D9A"/>
    <w:rsid w:val="00E25E43"/>
    <w:rsid w:val="00E26FB2"/>
    <w:rsid w:val="00E322D0"/>
    <w:rsid w:val="00E34745"/>
    <w:rsid w:val="00E34B3A"/>
    <w:rsid w:val="00E43FD7"/>
    <w:rsid w:val="00E46348"/>
    <w:rsid w:val="00E5128C"/>
    <w:rsid w:val="00E52877"/>
    <w:rsid w:val="00E61C42"/>
    <w:rsid w:val="00E6299E"/>
    <w:rsid w:val="00E63BA7"/>
    <w:rsid w:val="00E665DF"/>
    <w:rsid w:val="00E74421"/>
    <w:rsid w:val="00E75F5D"/>
    <w:rsid w:val="00E763CE"/>
    <w:rsid w:val="00E838B2"/>
    <w:rsid w:val="00E83F44"/>
    <w:rsid w:val="00E9660E"/>
    <w:rsid w:val="00E970BE"/>
    <w:rsid w:val="00E972A3"/>
    <w:rsid w:val="00EA1A06"/>
    <w:rsid w:val="00EB3608"/>
    <w:rsid w:val="00EB6243"/>
    <w:rsid w:val="00EB6CE8"/>
    <w:rsid w:val="00EC3EDC"/>
    <w:rsid w:val="00EC4A8E"/>
    <w:rsid w:val="00EC7252"/>
    <w:rsid w:val="00EC761C"/>
    <w:rsid w:val="00ED04C8"/>
    <w:rsid w:val="00ED4143"/>
    <w:rsid w:val="00ED6CF9"/>
    <w:rsid w:val="00EE36F6"/>
    <w:rsid w:val="00EE42FA"/>
    <w:rsid w:val="00EE590B"/>
    <w:rsid w:val="00EE6A3D"/>
    <w:rsid w:val="00EF2AF4"/>
    <w:rsid w:val="00EF446B"/>
    <w:rsid w:val="00F02D91"/>
    <w:rsid w:val="00F04D6A"/>
    <w:rsid w:val="00F05172"/>
    <w:rsid w:val="00F05C06"/>
    <w:rsid w:val="00F12659"/>
    <w:rsid w:val="00F15AAF"/>
    <w:rsid w:val="00F246FD"/>
    <w:rsid w:val="00F25FCE"/>
    <w:rsid w:val="00F31643"/>
    <w:rsid w:val="00F34E5C"/>
    <w:rsid w:val="00F36230"/>
    <w:rsid w:val="00F36B45"/>
    <w:rsid w:val="00F4239D"/>
    <w:rsid w:val="00F427AA"/>
    <w:rsid w:val="00F461C9"/>
    <w:rsid w:val="00F4734F"/>
    <w:rsid w:val="00F5021C"/>
    <w:rsid w:val="00F563DA"/>
    <w:rsid w:val="00F577FB"/>
    <w:rsid w:val="00F62F1E"/>
    <w:rsid w:val="00F63F4F"/>
    <w:rsid w:val="00F65B52"/>
    <w:rsid w:val="00F72A9F"/>
    <w:rsid w:val="00F74673"/>
    <w:rsid w:val="00F75911"/>
    <w:rsid w:val="00F80500"/>
    <w:rsid w:val="00F80AC3"/>
    <w:rsid w:val="00F83F10"/>
    <w:rsid w:val="00F85FA5"/>
    <w:rsid w:val="00F863AD"/>
    <w:rsid w:val="00F86580"/>
    <w:rsid w:val="00F93129"/>
    <w:rsid w:val="00FA0E4A"/>
    <w:rsid w:val="00FA26CE"/>
    <w:rsid w:val="00FA2EF7"/>
    <w:rsid w:val="00FB0522"/>
    <w:rsid w:val="00FB51C1"/>
    <w:rsid w:val="00FB78C2"/>
    <w:rsid w:val="00FC0D00"/>
    <w:rsid w:val="00FC294D"/>
    <w:rsid w:val="00FC328C"/>
    <w:rsid w:val="00FC366A"/>
    <w:rsid w:val="00FC4DE3"/>
    <w:rsid w:val="00FC6697"/>
    <w:rsid w:val="00FD671C"/>
    <w:rsid w:val="00FD6B24"/>
    <w:rsid w:val="00FD6F13"/>
    <w:rsid w:val="00FE1DE5"/>
    <w:rsid w:val="00FE397C"/>
    <w:rsid w:val="00FF1411"/>
    <w:rsid w:val="00FF4549"/>
    <w:rsid w:val="018F1821"/>
    <w:rsid w:val="0D64001E"/>
    <w:rsid w:val="14912274"/>
    <w:rsid w:val="1D425286"/>
    <w:rsid w:val="24FB089E"/>
    <w:rsid w:val="31AD3BB0"/>
    <w:rsid w:val="461A6CDD"/>
    <w:rsid w:val="57540B95"/>
    <w:rsid w:val="59BC1061"/>
    <w:rsid w:val="5A2129F8"/>
    <w:rsid w:val="5E9C5CE2"/>
    <w:rsid w:val="69DC06E8"/>
    <w:rsid w:val="6BE94D6C"/>
    <w:rsid w:val="791C6C63"/>
    <w:rsid w:val="7BE7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autoSpaceDE w:val="0"/>
      <w:autoSpaceDN w:val="0"/>
      <w:snapToGrid w:val="0"/>
      <w:spacing w:line="700" w:lineRule="exact"/>
      <w:ind w:firstLine="200" w:firstLineChars="200"/>
      <w:jc w:val="center"/>
      <w:outlineLvl w:val="0"/>
    </w:pPr>
    <w:rPr>
      <w:rFonts w:eastAsia="方正小标宋_GBK"/>
      <w:bCs/>
      <w:snapToGrid w:val="0"/>
      <w:kern w:val="44"/>
      <w:sz w:val="44"/>
      <w:szCs w:val="44"/>
    </w:rPr>
  </w:style>
  <w:style w:type="character" w:default="1" w:styleId="11">
    <w:name w:val="Default Paragraph Font"/>
    <w:autoRedefine/>
    <w:semiHidden/>
    <w:unhideWhenUsed/>
    <w:qFormat/>
    <w:uiPriority w:val="1"/>
  </w:style>
  <w:style w:type="table" w:default="1" w:styleId="9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7"/>
    <w:autoRedefine/>
    <w:semiHidden/>
    <w:unhideWhenUsed/>
    <w:qFormat/>
    <w:uiPriority w:val="99"/>
    <w:pPr>
      <w:jc w:val="left"/>
    </w:pPr>
  </w:style>
  <w:style w:type="paragraph" w:styleId="4">
    <w:name w:val="Balloon Text"/>
    <w:basedOn w:val="1"/>
    <w:link w:val="16"/>
    <w:autoRedefine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4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autoRedefine/>
    <w:qFormat/>
    <w:uiPriority w:val="99"/>
    <w:pPr>
      <w:widowControl/>
      <w:autoSpaceDE w:val="0"/>
      <w:autoSpaceDN w:val="0"/>
      <w:snapToGrid w:val="0"/>
      <w:spacing w:before="100" w:beforeAutospacing="1" w:after="100" w:afterAutospacing="1" w:line="590" w:lineRule="atLeast"/>
      <w:ind w:firstLine="200" w:firstLineChars="200"/>
      <w:jc w:val="left"/>
    </w:pPr>
    <w:rPr>
      <w:rFonts w:ascii="宋体" w:hAnsi="宋体" w:cs="宋体"/>
      <w:snapToGrid w:val="0"/>
      <w:kern w:val="0"/>
      <w:sz w:val="24"/>
    </w:rPr>
  </w:style>
  <w:style w:type="paragraph" w:styleId="8">
    <w:name w:val="annotation subject"/>
    <w:basedOn w:val="3"/>
    <w:next w:val="3"/>
    <w:link w:val="18"/>
    <w:autoRedefine/>
    <w:semiHidden/>
    <w:unhideWhenUsed/>
    <w:qFormat/>
    <w:uiPriority w:val="99"/>
    <w:rPr>
      <w:b/>
      <w:bCs/>
    </w:rPr>
  </w:style>
  <w:style w:type="table" w:styleId="10">
    <w:name w:val="Table Grid"/>
    <w:basedOn w:val="9"/>
    <w:autoRedefine/>
    <w:unhideWhenUsed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annotation reference"/>
    <w:basedOn w:val="11"/>
    <w:autoRedefine/>
    <w:semiHidden/>
    <w:unhideWhenUsed/>
    <w:qFormat/>
    <w:uiPriority w:val="99"/>
    <w:rPr>
      <w:sz w:val="21"/>
      <w:szCs w:val="21"/>
    </w:rPr>
  </w:style>
  <w:style w:type="character" w:customStyle="1" w:styleId="13">
    <w:name w:val="页眉 字符"/>
    <w:basedOn w:val="11"/>
    <w:link w:val="6"/>
    <w:autoRedefine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4">
    <w:name w:val="页脚 字符"/>
    <w:basedOn w:val="11"/>
    <w:link w:val="5"/>
    <w:autoRedefine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styleId="15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16">
    <w:name w:val="批注框文本 字符"/>
    <w:basedOn w:val="11"/>
    <w:link w:val="4"/>
    <w:autoRedefine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7">
    <w:name w:val="批注文字 字符"/>
    <w:basedOn w:val="11"/>
    <w:link w:val="3"/>
    <w:autoRedefine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8">
    <w:name w:val="批注主题 字符"/>
    <w:basedOn w:val="17"/>
    <w:link w:val="8"/>
    <w:autoRedefine/>
    <w:semiHidden/>
    <w:qFormat/>
    <w:uiPriority w:val="99"/>
    <w:rPr>
      <w:rFonts w:ascii="Times New Roman" w:hAnsi="Times New Roman" w:eastAsia="宋体" w:cs="Times New Roman"/>
      <w:b/>
      <w:bCs/>
      <w:szCs w:val="24"/>
    </w:rPr>
  </w:style>
  <w:style w:type="character" w:customStyle="1" w:styleId="19">
    <w:name w:val="标题 1 字符"/>
    <w:basedOn w:val="11"/>
    <w:link w:val="2"/>
    <w:autoRedefine/>
    <w:qFormat/>
    <w:uiPriority w:val="9"/>
    <w:rPr>
      <w:rFonts w:ascii="Times New Roman" w:hAnsi="Times New Roman" w:eastAsia="方正小标宋_GBK" w:cs="Times New Roman"/>
      <w:bCs/>
      <w:snapToGrid w:val="0"/>
      <w:kern w:val="44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header" Target="header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424</Words>
  <Characters>2417</Characters>
  <Lines>20</Lines>
  <Paragraphs>5</Paragraphs>
  <TotalTime>1</TotalTime>
  <ScaleCrop>false</ScaleCrop>
  <LinksUpToDate>false</LinksUpToDate>
  <CharactersWithSpaces>2836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2024-03-31T07:13:00Z</dcterms:created>
  <dc:creator>丁 继强</dc:creator>
  <cp:lastModifiedBy>自然吸气</cp:lastModifiedBy>
  <cp:lastPrinted>2024-04-01T09:54:00Z</cp:lastPrinted>
  <dcterms:modified xsi:type="dcterms:W3CDTF">2024-04-15T06:27:37Z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394844A6DB894D6EA8430FD178E046D9</vt:lpwstr>
  </property>
</Properties>
</file>