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7159" w:rsidRDefault="00777159">
      <w:pPr>
        <w:pStyle w:val="a8"/>
        <w:ind w:rightChars="0" w:right="0"/>
        <w:rPr>
          <w:rFonts w:hint="eastAsia"/>
        </w:rPr>
      </w:pPr>
    </w:p>
    <w:p w:rsidR="00777159" w:rsidRDefault="00172668">
      <w:pPr>
        <w:pStyle w:val="a5"/>
        <w:spacing w:beforeLines="0" w:afterLines="0"/>
        <w:rPr>
          <w:rFonts w:ascii="Times New Roman" w:hAnsi="Times New Roman" w:cs="方正小标宋_GBK"/>
          <w:szCs w:val="44"/>
          <w:lang w:bidi="ar"/>
        </w:rPr>
      </w:pPr>
      <w:r>
        <w:rPr>
          <w:rFonts w:ascii="Times New Roman" w:hAnsi="Times New Roman" w:cs="方正小标宋_GBK" w:hint="eastAsia"/>
          <w:szCs w:val="44"/>
          <w:lang w:bidi="ar"/>
        </w:rPr>
        <w:t>江苏省推动游艇业发展的若干措施</w:t>
      </w:r>
    </w:p>
    <w:p w:rsidR="00777159" w:rsidRDefault="00172668">
      <w:pPr>
        <w:spacing w:line="590" w:lineRule="exact"/>
        <w:ind w:firstLine="0"/>
        <w:jc w:val="center"/>
        <w:rPr>
          <w:rFonts w:ascii="方正楷体_GBK" w:eastAsia="方正楷体_GBK" w:cs="方正楷体_GBK"/>
          <w:szCs w:val="32"/>
        </w:rPr>
      </w:pPr>
      <w:bookmarkStart w:id="0" w:name="OLE_LINK12"/>
      <w:bookmarkStart w:id="1" w:name="OLE_LINK13"/>
      <w:r>
        <w:rPr>
          <w:rFonts w:ascii="方正楷体_GBK" w:eastAsia="方正楷体_GBK" w:cs="方正楷体_GBK" w:hint="eastAsia"/>
          <w:szCs w:val="32"/>
          <w:lang w:bidi="ar"/>
        </w:rPr>
        <w:t>（</w:t>
      </w:r>
      <w:bookmarkStart w:id="2" w:name="OLE_LINK9"/>
      <w:bookmarkStart w:id="3" w:name="OLE_LINK10"/>
      <w:r>
        <w:rPr>
          <w:rFonts w:ascii="方正楷体_GBK" w:eastAsia="方正楷体_GBK" w:cs="方正楷体_GBK" w:hint="eastAsia"/>
          <w:szCs w:val="32"/>
          <w:lang w:bidi="ar"/>
        </w:rPr>
        <w:t>征求意见稿</w:t>
      </w:r>
      <w:bookmarkEnd w:id="2"/>
      <w:bookmarkEnd w:id="3"/>
      <w:r>
        <w:rPr>
          <w:rFonts w:ascii="方正楷体_GBK" w:eastAsia="方正楷体_GBK" w:cs="方正楷体_GBK" w:hint="eastAsia"/>
          <w:szCs w:val="32"/>
          <w:lang w:bidi="ar"/>
        </w:rPr>
        <w:t>）</w:t>
      </w:r>
    </w:p>
    <w:bookmarkEnd w:id="0"/>
    <w:bookmarkEnd w:id="1"/>
    <w:p w:rsidR="00777159" w:rsidRDefault="00777159">
      <w:pPr>
        <w:spacing w:line="590" w:lineRule="exact"/>
        <w:rPr>
          <w:lang w:bidi="ar"/>
        </w:rPr>
      </w:pPr>
    </w:p>
    <w:p w:rsidR="00777159" w:rsidRDefault="00172668">
      <w:pPr>
        <w:spacing w:line="590" w:lineRule="exact"/>
        <w:ind w:firstLine="640"/>
        <w:rPr>
          <w:szCs w:val="32"/>
        </w:rPr>
      </w:pPr>
      <w:r>
        <w:rPr>
          <w:rFonts w:hint="eastAsia"/>
          <w:szCs w:val="32"/>
          <w:lang w:bidi="ar"/>
        </w:rPr>
        <w:t>游艇业属于跨领域的综合性产业，对提升现代服务业水平、促进区域经济社会发展、满足人民群众日益增长的美好生活需要具有重要意义。为推动我省游艇业高质量发展“走在前、做示范”，进一步拉动内需、促进消费，打造发展新优势，更好地支撑和服务中国式现代化江苏新实践，现制定推动游艇业发展的若干措施如下：</w:t>
      </w:r>
    </w:p>
    <w:p w:rsidR="00777159" w:rsidRDefault="00172668">
      <w:pPr>
        <w:spacing w:line="590" w:lineRule="exact"/>
        <w:ind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lang w:bidi="ar"/>
        </w:rPr>
        <w:t>一、创新游艇业发展政务服务</w:t>
      </w:r>
    </w:p>
    <w:p w:rsidR="0089471F" w:rsidRDefault="00172668">
      <w:pPr>
        <w:spacing w:line="590" w:lineRule="exact"/>
        <w:ind w:firstLine="643"/>
        <w:rPr>
          <w:rFonts w:hint="eastAsia"/>
          <w:szCs w:val="32"/>
          <w:lang w:bidi="ar"/>
        </w:rPr>
      </w:pPr>
      <w:r>
        <w:rPr>
          <w:rFonts w:eastAsia="方正楷体_GBK" w:hint="eastAsia"/>
          <w:b/>
          <w:szCs w:val="32"/>
          <w:lang w:bidi="ar"/>
        </w:rPr>
        <w:t>（一）优化游艇检验服务。</w:t>
      </w:r>
      <w:r>
        <w:rPr>
          <w:rFonts w:hint="eastAsia"/>
          <w:szCs w:val="32"/>
          <w:lang w:bidi="ar"/>
        </w:rPr>
        <w:t>全面提升游艇检验便利化水平，在依法合</w:t>
      </w:r>
      <w:proofErr w:type="gramStart"/>
      <w:r>
        <w:rPr>
          <w:rFonts w:hint="eastAsia"/>
          <w:szCs w:val="32"/>
          <w:lang w:bidi="ar"/>
        </w:rPr>
        <w:t>规</w:t>
      </w:r>
      <w:proofErr w:type="gramEnd"/>
      <w:r>
        <w:rPr>
          <w:rFonts w:hint="eastAsia"/>
          <w:szCs w:val="32"/>
          <w:lang w:bidi="ar"/>
        </w:rPr>
        <w:t>的前提下，按照“能简则简、能快则快”的原则，简化检验程序、优化检验流程、缩短检验时间。</w:t>
      </w:r>
      <w:r>
        <w:rPr>
          <w:rFonts w:hint="eastAsia"/>
          <w:szCs w:val="32"/>
        </w:rPr>
        <w:t>持有</w:t>
      </w:r>
      <w:r>
        <w:rPr>
          <w:rFonts w:hint="eastAsia"/>
          <w:szCs w:val="32"/>
        </w:rPr>
        <w:t>CE</w:t>
      </w:r>
      <w:r>
        <w:rPr>
          <w:rFonts w:hint="eastAsia"/>
          <w:szCs w:val="32"/>
        </w:rPr>
        <w:t>和</w:t>
      </w:r>
      <w:r>
        <w:rPr>
          <w:rFonts w:hint="eastAsia"/>
          <w:szCs w:val="32"/>
        </w:rPr>
        <w:t>ABYC</w:t>
      </w:r>
      <w:r>
        <w:rPr>
          <w:rFonts w:hint="eastAsia"/>
          <w:szCs w:val="32"/>
        </w:rPr>
        <w:t>认证证书的进口游艇，检验时可不要求其提供图纸资料；国内取得型式检验证书的新建批量游艇，可直接换发游艇适航证书。</w:t>
      </w:r>
      <w:r>
        <w:rPr>
          <w:rFonts w:hint="eastAsia"/>
          <w:szCs w:val="32"/>
          <w:lang w:bidi="ar"/>
        </w:rPr>
        <w:t>适航证书在有效期内的游艇，在江苏省内转</w:t>
      </w:r>
      <w:proofErr w:type="gramStart"/>
      <w:r>
        <w:rPr>
          <w:rFonts w:hint="eastAsia"/>
          <w:szCs w:val="32"/>
          <w:lang w:bidi="ar"/>
        </w:rPr>
        <w:t>籍不再</w:t>
      </w:r>
      <w:proofErr w:type="gramEnd"/>
      <w:r>
        <w:rPr>
          <w:rFonts w:hint="eastAsia"/>
          <w:szCs w:val="32"/>
          <w:lang w:bidi="ar"/>
        </w:rPr>
        <w:t>开展现场检验，直接换发证书。</w:t>
      </w:r>
    </w:p>
    <w:p w:rsidR="0089471F" w:rsidRDefault="00172668">
      <w:pPr>
        <w:spacing w:line="590" w:lineRule="exact"/>
        <w:ind w:firstLine="643"/>
        <w:rPr>
          <w:rFonts w:hint="eastAsia"/>
          <w:szCs w:val="32"/>
          <w:lang w:bidi="ar"/>
        </w:rPr>
      </w:pPr>
      <w:bookmarkStart w:id="4" w:name="_GoBack"/>
      <w:bookmarkEnd w:id="4"/>
      <w:r>
        <w:rPr>
          <w:rFonts w:eastAsia="方正楷体_GBK" w:hint="eastAsia"/>
          <w:b/>
          <w:szCs w:val="32"/>
          <w:lang w:bidi="ar"/>
        </w:rPr>
        <w:t>（二）优化登记办理。</w:t>
      </w:r>
      <w:r>
        <w:rPr>
          <w:rFonts w:hint="eastAsia"/>
          <w:szCs w:val="32"/>
        </w:rPr>
        <w:t>允许我省以外的各类游艇所有人与在江苏备案的游艇俱乐部签订游艇委托管理协议后，在游艇俱乐部所在地的海事管理机构办理游艇登记手续，备齐相关材料并提交</w:t>
      </w:r>
      <w:r>
        <w:rPr>
          <w:rFonts w:hint="eastAsia"/>
          <w:szCs w:val="32"/>
        </w:rPr>
        <w:lastRenderedPageBreak/>
        <w:t>登记申请后，原则上在</w:t>
      </w:r>
      <w:r>
        <w:rPr>
          <w:rFonts w:hint="eastAsia"/>
          <w:szCs w:val="32"/>
        </w:rPr>
        <w:t>3</w:t>
      </w:r>
      <w:r>
        <w:rPr>
          <w:rFonts w:hint="eastAsia"/>
          <w:szCs w:val="32"/>
        </w:rPr>
        <w:t>个工作日内完成登记。</w:t>
      </w:r>
      <w:r>
        <w:rPr>
          <w:rFonts w:hint="eastAsia"/>
          <w:szCs w:val="32"/>
          <w:lang w:bidi="ar"/>
        </w:rPr>
        <w:t>对船籍港在江苏且适航证书在有效期内的、航行水域为内河及海上的游艇，在不涉及游艇所有人或管理人变更的情况下，省内航行无需进行转籍登记。</w:t>
      </w:r>
    </w:p>
    <w:p w:rsidR="0089471F" w:rsidRDefault="00172668">
      <w:pPr>
        <w:spacing w:line="590" w:lineRule="exact"/>
        <w:ind w:firstLine="643"/>
        <w:rPr>
          <w:rFonts w:hint="eastAsia"/>
          <w:szCs w:val="32"/>
          <w:lang w:bidi="ar"/>
        </w:rPr>
      </w:pPr>
      <w:r>
        <w:rPr>
          <w:rFonts w:eastAsia="方正楷体_GBK" w:hint="eastAsia"/>
          <w:b/>
          <w:szCs w:val="32"/>
          <w:lang w:bidi="ar"/>
        </w:rPr>
        <w:t>（三）优化航行报备。</w:t>
      </w:r>
      <w:r>
        <w:rPr>
          <w:rFonts w:hint="eastAsia"/>
          <w:szCs w:val="32"/>
          <w:lang w:bidi="ar"/>
        </w:rPr>
        <w:t>游艇所有人或游艇俱乐部在备案水域内实行首航报备，在备案水域外出行可通过信息化系统实现“一键报备”。</w:t>
      </w:r>
    </w:p>
    <w:p w:rsidR="0089471F" w:rsidRDefault="00172668">
      <w:pPr>
        <w:spacing w:line="590" w:lineRule="exact"/>
        <w:ind w:firstLine="643"/>
        <w:rPr>
          <w:rFonts w:hint="eastAsia"/>
          <w:szCs w:val="32"/>
          <w:lang w:bidi="ar"/>
        </w:rPr>
      </w:pPr>
      <w:r>
        <w:rPr>
          <w:rFonts w:eastAsia="方正楷体_GBK" w:hint="eastAsia"/>
          <w:b/>
          <w:szCs w:val="32"/>
          <w:lang w:bidi="ar"/>
        </w:rPr>
        <w:t>（四）优化俱乐部备案。</w:t>
      </w:r>
      <w:r>
        <w:rPr>
          <w:rFonts w:hint="eastAsia"/>
          <w:szCs w:val="32"/>
          <w:lang w:bidi="ar"/>
        </w:rPr>
        <w:t>对在江苏省注册登记的游艇俱乐部，全面优化备案环节、提高备案效率，鼓励引导游艇纳入俱乐部统一管理。其中，内河游艇俱乐部备案事权由</w:t>
      </w:r>
      <w:proofErr w:type="gramStart"/>
      <w:r>
        <w:rPr>
          <w:rFonts w:hint="eastAsia"/>
          <w:szCs w:val="32"/>
          <w:lang w:bidi="ar"/>
        </w:rPr>
        <w:t>省级交通</w:t>
      </w:r>
      <w:proofErr w:type="gramEnd"/>
      <w:r>
        <w:rPr>
          <w:rFonts w:hint="eastAsia"/>
          <w:szCs w:val="32"/>
          <w:lang w:bidi="ar"/>
        </w:rPr>
        <w:t>运输部门下放至设区市交通运输部门，材料报送齐全后</w:t>
      </w:r>
      <w:r>
        <w:rPr>
          <w:szCs w:val="32"/>
          <w:lang w:bidi="ar"/>
        </w:rPr>
        <w:t>5</w:t>
      </w:r>
      <w:r>
        <w:rPr>
          <w:rFonts w:hint="eastAsia"/>
          <w:szCs w:val="32"/>
          <w:lang w:bidi="ar"/>
        </w:rPr>
        <w:t>个工作日内完成备案；沿海游艇俱乐部由所在地直属海事管理机构</w:t>
      </w:r>
      <w:r>
        <w:rPr>
          <w:szCs w:val="32"/>
          <w:lang w:bidi="ar"/>
        </w:rPr>
        <w:t>5</w:t>
      </w:r>
      <w:r>
        <w:rPr>
          <w:rFonts w:hint="eastAsia"/>
          <w:szCs w:val="32"/>
          <w:lang w:bidi="ar"/>
        </w:rPr>
        <w:t>个工作日内完成备案。</w:t>
      </w:r>
    </w:p>
    <w:p w:rsidR="00777159" w:rsidRDefault="00172668">
      <w:pPr>
        <w:spacing w:line="590" w:lineRule="exact"/>
        <w:ind w:firstLine="643"/>
        <w:rPr>
          <w:rFonts w:eastAsia="方正楷体_GBK"/>
          <w:szCs w:val="32"/>
        </w:rPr>
      </w:pPr>
      <w:r>
        <w:rPr>
          <w:rFonts w:eastAsia="方正楷体_GBK" w:hint="eastAsia"/>
          <w:b/>
          <w:szCs w:val="32"/>
          <w:lang w:bidi="ar"/>
        </w:rPr>
        <w:t>（五）强化安全保障。</w:t>
      </w:r>
      <w:r>
        <w:rPr>
          <w:rFonts w:hint="eastAsia"/>
          <w:szCs w:val="32"/>
          <w:lang w:bidi="ar"/>
        </w:rPr>
        <w:t>督促游艇俱乐部或游艇所有人落实安全生产主体责任。督促游艇所有人依规为游艇配备</w:t>
      </w:r>
      <w:r>
        <w:rPr>
          <w:szCs w:val="32"/>
          <w:lang w:bidi="ar"/>
        </w:rPr>
        <w:t>AIS</w:t>
      </w:r>
      <w:r>
        <w:rPr>
          <w:rFonts w:hint="eastAsia"/>
          <w:szCs w:val="32"/>
          <w:lang w:bidi="ar"/>
        </w:rPr>
        <w:t>等通信设备，确保游艇航行轨迹完整、可视。加强游艇培训机构建设、管理，提高游艇业务培训能力，提升游艇操作人员安全操作水平。研究开发游艇管理服务平台，实现游艇检验登记、开行报备、应急救助等信息互通共享，推动游艇监管服务一体化；同步整合游艇靠泊设施、适航水域、游艇租赁等信息，为游艇所有人、游艇俱乐部、游艇租赁业务经营人等提供多元化服务。</w:t>
      </w:r>
    </w:p>
    <w:p w:rsidR="00777159" w:rsidRDefault="00172668">
      <w:pPr>
        <w:spacing w:line="590" w:lineRule="exact"/>
        <w:ind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lang w:bidi="ar"/>
        </w:rPr>
        <w:lastRenderedPageBreak/>
        <w:t>二、激活游艇消费</w:t>
      </w:r>
    </w:p>
    <w:p w:rsidR="0089471F" w:rsidRDefault="00172668">
      <w:pPr>
        <w:spacing w:line="590" w:lineRule="exact"/>
        <w:ind w:firstLine="643"/>
        <w:rPr>
          <w:rFonts w:hint="eastAsia"/>
          <w:szCs w:val="32"/>
          <w:lang w:bidi="ar"/>
        </w:rPr>
      </w:pPr>
      <w:r>
        <w:rPr>
          <w:rFonts w:eastAsia="方正楷体_GBK" w:hint="eastAsia"/>
          <w:b/>
          <w:szCs w:val="32"/>
          <w:lang w:bidi="ar"/>
        </w:rPr>
        <w:t>（六）探索开展游艇租赁。</w:t>
      </w:r>
      <w:r>
        <w:rPr>
          <w:rFonts w:hint="eastAsia"/>
          <w:szCs w:val="32"/>
          <w:lang w:bidi="ar"/>
        </w:rPr>
        <w:t>推进以游艇俱乐部为主体开展</w:t>
      </w:r>
      <w:r>
        <w:rPr>
          <w:szCs w:val="32"/>
          <w:lang w:bidi="ar"/>
        </w:rPr>
        <w:t>12</w:t>
      </w:r>
      <w:r>
        <w:rPr>
          <w:rFonts w:hint="eastAsia"/>
          <w:szCs w:val="32"/>
          <w:lang w:bidi="ar"/>
        </w:rPr>
        <w:t>人及以下的游艇租赁试点，允许游艇俱乐部以整船租赁的方式向承租人提供游艇和驾驶劳务服务，并研究探索游艇共享消费、分时</w:t>
      </w:r>
      <w:r>
        <w:rPr>
          <w:rFonts w:ascii="方正仿宋_GBK" w:hAnsi="方正仿宋_GBK" w:cs="方正仿宋_GBK" w:hint="eastAsia"/>
          <w:szCs w:val="32"/>
          <w:lang w:bidi="ar"/>
        </w:rPr>
        <w:t>租赁等</w:t>
      </w:r>
      <w:r>
        <w:rPr>
          <w:rFonts w:hint="eastAsia"/>
          <w:szCs w:val="32"/>
          <w:lang w:bidi="ar"/>
        </w:rPr>
        <w:t>模式的可行性，持续提振游艇大众化消费。</w:t>
      </w:r>
    </w:p>
    <w:p w:rsidR="0089471F" w:rsidRDefault="00172668">
      <w:pPr>
        <w:spacing w:line="590" w:lineRule="exact"/>
        <w:ind w:firstLine="643"/>
        <w:rPr>
          <w:rFonts w:hint="eastAsia"/>
          <w:szCs w:val="32"/>
          <w:lang w:bidi="ar"/>
        </w:rPr>
      </w:pPr>
      <w:r>
        <w:rPr>
          <w:rFonts w:eastAsia="方正楷体_GBK" w:hint="eastAsia"/>
          <w:b/>
          <w:szCs w:val="32"/>
          <w:lang w:bidi="ar"/>
        </w:rPr>
        <w:t>（七）完善游艇租赁管理。</w:t>
      </w:r>
      <w:r>
        <w:rPr>
          <w:rFonts w:hint="eastAsia"/>
          <w:szCs w:val="32"/>
          <w:lang w:bidi="ar"/>
        </w:rPr>
        <w:t>探索建立覆盖游艇租赁业务全链条的管理体系，明确租赁游艇选型、商事登记、备案管理、行为规范、租赁合同、游艇操作人员要求、安全责任等核心内容，规范游艇租赁行为，保障水上交通安全。内河游艇租赁由设区市交通运输部门负责备案，沿海游艇租赁由所在地直属海事管理机构负责备案，材料报送齐全后，</w:t>
      </w:r>
      <w:r>
        <w:rPr>
          <w:szCs w:val="32"/>
          <w:lang w:bidi="ar"/>
        </w:rPr>
        <w:t>10</w:t>
      </w:r>
      <w:r>
        <w:rPr>
          <w:rFonts w:hint="eastAsia"/>
          <w:szCs w:val="32"/>
          <w:lang w:bidi="ar"/>
        </w:rPr>
        <w:t>个工作日内配发租赁游艇标识号牌，将游艇租赁业务经营人及租赁游艇相关备案信息进行建档管理并向社会公布。</w:t>
      </w:r>
    </w:p>
    <w:p w:rsidR="00777159" w:rsidRDefault="00172668">
      <w:pPr>
        <w:spacing w:line="590" w:lineRule="exact"/>
        <w:ind w:firstLine="643"/>
        <w:rPr>
          <w:rFonts w:eastAsia="方正楷体_GBK"/>
          <w:szCs w:val="32"/>
        </w:rPr>
      </w:pPr>
      <w:r>
        <w:rPr>
          <w:rFonts w:eastAsia="方正楷体_GBK" w:hint="eastAsia"/>
          <w:b/>
          <w:szCs w:val="32"/>
          <w:lang w:bidi="ar"/>
        </w:rPr>
        <w:t>（八）开发游艇消费产品。</w:t>
      </w:r>
      <w:r>
        <w:rPr>
          <w:rFonts w:hint="eastAsia"/>
          <w:szCs w:val="32"/>
          <w:lang w:bidi="ar"/>
        </w:rPr>
        <w:t>以满足游艇消费大众化发展为主导，近期先行在具备游艇活动条件的水域，精心打造生态观光、家庭休闲、商务雅集、水上运动等适合游艇游玩的特色旅游产品，提升游艇旅游体验；远期探索沿海水域游览观光、海钓、体育运动等全域旅游产品，并同步优化服务保障措施。加大游艇文化宣传，开展游艇科普讲座、游艇试乘体验、游艇安全试驾等活动，以沉浸式、多样化、低门槛的参与方式，提升公众参与热情与积极性，促进扩大消费群体。</w:t>
      </w:r>
    </w:p>
    <w:p w:rsidR="0089471F" w:rsidRDefault="00172668">
      <w:pPr>
        <w:spacing w:line="590" w:lineRule="exact"/>
        <w:ind w:firstLine="643"/>
        <w:rPr>
          <w:rFonts w:hint="eastAsia"/>
          <w:szCs w:val="32"/>
          <w:lang w:bidi="ar"/>
        </w:rPr>
      </w:pPr>
      <w:r>
        <w:rPr>
          <w:rFonts w:eastAsia="方正楷体_GBK" w:hint="eastAsia"/>
          <w:b/>
          <w:szCs w:val="32"/>
          <w:lang w:bidi="ar"/>
        </w:rPr>
        <w:lastRenderedPageBreak/>
        <w:t>（九）引导开展游艇赛事。</w:t>
      </w:r>
      <w:r>
        <w:rPr>
          <w:rFonts w:hint="eastAsia"/>
          <w:szCs w:val="32"/>
          <w:lang w:bidi="ar"/>
        </w:rPr>
        <w:t>鼓励有条件的地区策划举办游艇相关赛事、游艇设计大赛等多元化赛事活动，促进游艇行业交流，提升江苏游艇业知名度。</w:t>
      </w:r>
    </w:p>
    <w:p w:rsidR="00777159" w:rsidRDefault="00172668">
      <w:pPr>
        <w:spacing w:line="590" w:lineRule="exact"/>
        <w:ind w:firstLine="643"/>
        <w:rPr>
          <w:rFonts w:eastAsia="方正楷体_GBK"/>
          <w:szCs w:val="32"/>
        </w:rPr>
      </w:pPr>
      <w:r>
        <w:rPr>
          <w:rFonts w:eastAsia="方正楷体_GBK" w:hint="eastAsia"/>
          <w:b/>
          <w:szCs w:val="32"/>
          <w:lang w:bidi="ar"/>
        </w:rPr>
        <w:t>（十）打造专业游艇展会。</w:t>
      </w:r>
      <w:r>
        <w:rPr>
          <w:rFonts w:hint="eastAsia"/>
          <w:szCs w:val="32"/>
          <w:lang w:bidi="ar"/>
        </w:rPr>
        <w:t>坚持“内部挖潜</w:t>
      </w:r>
      <w:r>
        <w:rPr>
          <w:szCs w:val="32"/>
          <w:lang w:bidi="ar"/>
        </w:rPr>
        <w:t>+</w:t>
      </w:r>
      <w:r>
        <w:rPr>
          <w:rFonts w:hint="eastAsia"/>
          <w:szCs w:val="32"/>
          <w:lang w:bidi="ar"/>
        </w:rPr>
        <w:t>外部借力”双向发力，深化游艇展示推广体系。支持游艇业在省内举办展会。依托大运河文化旅游博览会、旅游文化节等省内旅游专业节展，举办游艇旅游推介会，加大对江苏游艇旅游消费的宣传力度，有效激活省内市场需求。积极支持省内游艇制造企业“走出去”，充分利用三亚国际游艇展、上海国际游艇展等各类活动平台，展示江苏游艇制造技术与产品优势，进一步开拓省外消费市场。</w:t>
      </w:r>
    </w:p>
    <w:p w:rsidR="00777159" w:rsidRDefault="00172668">
      <w:pPr>
        <w:spacing w:line="590" w:lineRule="exact"/>
        <w:ind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lang w:bidi="ar"/>
        </w:rPr>
        <w:t>三、提高游艇综合服务能力</w:t>
      </w:r>
    </w:p>
    <w:p w:rsidR="0089471F" w:rsidRDefault="00172668">
      <w:pPr>
        <w:spacing w:line="590" w:lineRule="exact"/>
        <w:ind w:firstLine="643"/>
        <w:rPr>
          <w:rFonts w:hint="eastAsia"/>
          <w:szCs w:val="32"/>
          <w:lang w:bidi="ar"/>
        </w:rPr>
      </w:pPr>
      <w:r>
        <w:rPr>
          <w:rFonts w:eastAsia="方正楷体_GBK" w:hint="eastAsia"/>
          <w:b/>
          <w:szCs w:val="32"/>
          <w:lang w:bidi="ar"/>
        </w:rPr>
        <w:t>（十一）划定适航区域。</w:t>
      </w:r>
      <w:r>
        <w:rPr>
          <w:rFonts w:hint="eastAsia"/>
          <w:szCs w:val="32"/>
          <w:lang w:bidi="ar"/>
        </w:rPr>
        <w:t>对照游艇发展需要和航行必备条件，围绕大众化游艇旅游消费需求，省有关部门制定指南，设区市人民政府按照指南组织相关部门对辖区内水域进行全面摸排，先行在湖区、水上景区、封闭水域划定游艇适航区域，并对社会公布。</w:t>
      </w:r>
      <w:r>
        <w:rPr>
          <w:szCs w:val="32"/>
          <w:lang w:bidi="ar"/>
        </w:rPr>
        <w:t>10</w:t>
      </w:r>
      <w:r>
        <w:rPr>
          <w:rFonts w:hint="eastAsia"/>
          <w:szCs w:val="32"/>
          <w:lang w:bidi="ar"/>
        </w:rPr>
        <w:t>月底前完成第一批次划定和公布工作。各设区市政府须根据适航区域划定情况，完善水上应急搜救点建设，强化相关人员装备配备。</w:t>
      </w:r>
    </w:p>
    <w:p w:rsidR="0089471F" w:rsidRDefault="00172668">
      <w:pPr>
        <w:spacing w:line="590" w:lineRule="exact"/>
        <w:ind w:firstLine="643"/>
        <w:rPr>
          <w:rFonts w:hint="eastAsia"/>
          <w:szCs w:val="32"/>
          <w:lang w:bidi="ar"/>
        </w:rPr>
      </w:pPr>
      <w:r>
        <w:rPr>
          <w:rFonts w:eastAsia="方正楷体_GBK" w:hint="eastAsia"/>
          <w:b/>
          <w:szCs w:val="32"/>
          <w:lang w:bidi="ar"/>
        </w:rPr>
        <w:t>（十二）完善配套设施。</w:t>
      </w:r>
      <w:r>
        <w:rPr>
          <w:rFonts w:hint="eastAsia"/>
          <w:szCs w:val="32"/>
          <w:lang w:bidi="ar"/>
        </w:rPr>
        <w:t>科学布局并完善相关配套设施，设区市政府须出台港口外停泊点的相关制度性文件，简化相关审批程序，新建、改建、扩建一批游艇靠泊设施、下水坡道、系泊锚</w:t>
      </w:r>
      <w:r>
        <w:rPr>
          <w:rFonts w:hint="eastAsia"/>
          <w:szCs w:val="32"/>
          <w:lang w:bidi="ar"/>
        </w:rPr>
        <w:lastRenderedPageBreak/>
        <w:t>地、陆上干仓、</w:t>
      </w:r>
      <w:proofErr w:type="gramStart"/>
      <w:r>
        <w:rPr>
          <w:rFonts w:hint="eastAsia"/>
          <w:szCs w:val="32"/>
          <w:lang w:bidi="ar"/>
        </w:rPr>
        <w:t>补能设施</w:t>
      </w:r>
      <w:proofErr w:type="gramEnd"/>
      <w:r>
        <w:rPr>
          <w:rFonts w:hint="eastAsia"/>
          <w:szCs w:val="32"/>
          <w:lang w:bidi="ar"/>
        </w:rPr>
        <w:t>以及环保配套设施设备，探索建设电子围栏、智能卡口等信息化防控体系。加强沿海沿江沿河沿湖文化景观再造和生态治理，完善游艇旅游配套基础设施和设备。</w:t>
      </w:r>
    </w:p>
    <w:p w:rsidR="00777159" w:rsidRDefault="00172668">
      <w:pPr>
        <w:spacing w:line="590" w:lineRule="exact"/>
        <w:ind w:firstLine="643"/>
        <w:rPr>
          <w:szCs w:val="32"/>
        </w:rPr>
      </w:pPr>
      <w:r>
        <w:rPr>
          <w:rFonts w:eastAsia="方正楷体_GBK" w:hint="eastAsia"/>
          <w:b/>
          <w:szCs w:val="32"/>
          <w:lang w:bidi="ar"/>
        </w:rPr>
        <w:t>（十三）建设综合服务中心。</w:t>
      </w:r>
      <w:r>
        <w:rPr>
          <w:rFonts w:hint="eastAsia"/>
          <w:szCs w:val="32"/>
          <w:lang w:bidi="ar"/>
        </w:rPr>
        <w:t>适时推动在适合游艇活动且旅游资源丰富的区域建设集游艇停泊、供油供水、商务休闲、餐饮住宿等为一体的游艇综合服务中心，全面提供安全、智慧、便捷、舒适的综合服务。</w:t>
      </w:r>
    </w:p>
    <w:p w:rsidR="00777159" w:rsidRDefault="00172668">
      <w:pPr>
        <w:spacing w:line="590" w:lineRule="exact"/>
        <w:ind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lang w:bidi="ar"/>
        </w:rPr>
        <w:t>四、提升游艇研发制造能力</w:t>
      </w:r>
    </w:p>
    <w:p w:rsidR="0089471F" w:rsidRDefault="00172668">
      <w:pPr>
        <w:spacing w:line="590" w:lineRule="exact"/>
        <w:ind w:firstLine="643"/>
        <w:rPr>
          <w:rFonts w:hint="eastAsia"/>
          <w:szCs w:val="32"/>
          <w:lang w:bidi="ar"/>
        </w:rPr>
      </w:pPr>
      <w:r>
        <w:rPr>
          <w:rFonts w:eastAsia="方正楷体_GBK" w:hint="eastAsia"/>
          <w:b/>
          <w:szCs w:val="32"/>
          <w:lang w:bidi="ar"/>
        </w:rPr>
        <w:t>（十四）推动研发设计创新。</w:t>
      </w:r>
      <w:r>
        <w:rPr>
          <w:rFonts w:hint="eastAsia"/>
          <w:szCs w:val="32"/>
          <w:lang w:bidi="ar"/>
        </w:rPr>
        <w:t>加强游艇动力设备、齿轮箱等游艇关键核心部件研发。支持游艇制造企业加大对锂电池和电力推进设备的研发投资，提升新能源电动游艇的装备集成能力。鼓励开发智能航行辅助系统，实现游艇自动避障、航线规划等功能。支持相关设计院所及企业研发大众消费游艇，形成系列化产品。提升游艇工业美学设计、舱室空间利用、内装设计等游艇设计能力。</w:t>
      </w:r>
    </w:p>
    <w:p w:rsidR="0089471F" w:rsidRDefault="00172668">
      <w:pPr>
        <w:spacing w:line="590" w:lineRule="exact"/>
        <w:ind w:firstLine="643"/>
        <w:rPr>
          <w:rFonts w:hint="eastAsia"/>
          <w:szCs w:val="32"/>
          <w:lang w:bidi="ar"/>
        </w:rPr>
      </w:pPr>
      <w:r>
        <w:rPr>
          <w:rFonts w:eastAsia="方正楷体_GBK" w:hint="eastAsia"/>
          <w:b/>
          <w:szCs w:val="32"/>
          <w:lang w:bidi="ar"/>
        </w:rPr>
        <w:t>（十五）提升全链制造能力。</w:t>
      </w:r>
      <w:r>
        <w:rPr>
          <w:rFonts w:hint="eastAsia"/>
          <w:szCs w:val="32"/>
          <w:lang w:bidi="ar"/>
        </w:rPr>
        <w:t>以满足大众消费需求为重点，大力发展中小型游艇，推进产品制造批量化，推动游艇从“小众高端”向“大众普及”转型。加强游艇配套供应链建设，支持企业制造船用发动机、</w:t>
      </w:r>
      <w:proofErr w:type="gramStart"/>
      <w:r>
        <w:rPr>
          <w:rFonts w:hint="eastAsia"/>
          <w:szCs w:val="32"/>
          <w:lang w:bidi="ar"/>
        </w:rPr>
        <w:t>纯电动力系统</w:t>
      </w:r>
      <w:proofErr w:type="gramEnd"/>
      <w:r>
        <w:rPr>
          <w:rFonts w:hint="eastAsia"/>
          <w:szCs w:val="32"/>
          <w:lang w:bidi="ar"/>
        </w:rPr>
        <w:t>等游艇关键核心零部件及辅助设备。鼓励制造新能源清洁能源新型游艇，提升先进复合材料及铝合金游艇制造能力。支持游艇维修业发展。</w:t>
      </w:r>
    </w:p>
    <w:p w:rsidR="00777159" w:rsidRDefault="00172668">
      <w:pPr>
        <w:spacing w:line="590" w:lineRule="exact"/>
        <w:ind w:firstLine="643"/>
        <w:rPr>
          <w:rFonts w:eastAsia="方正楷体_GBK"/>
          <w:szCs w:val="32"/>
        </w:rPr>
      </w:pPr>
      <w:r>
        <w:rPr>
          <w:rFonts w:eastAsia="方正楷体_GBK" w:hint="eastAsia"/>
          <w:b/>
          <w:szCs w:val="32"/>
          <w:lang w:bidi="ar"/>
        </w:rPr>
        <w:lastRenderedPageBreak/>
        <w:t>（十六）打造特色产业集聚区。</w:t>
      </w:r>
      <w:r>
        <w:rPr>
          <w:rFonts w:hint="eastAsia"/>
          <w:szCs w:val="32"/>
          <w:lang w:bidi="ar"/>
        </w:rPr>
        <w:t>依托南京区域性航运物流中心、苏锡常等游艇配套产业集中度高的区域，合力建设特色突出、产业集聚的游艇业特色集聚区。</w:t>
      </w:r>
    </w:p>
    <w:p w:rsidR="00777159" w:rsidRDefault="00172668">
      <w:pPr>
        <w:spacing w:line="590" w:lineRule="exact"/>
        <w:ind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lang w:bidi="ar"/>
        </w:rPr>
        <w:t>五、打造游艇业发展良好环境</w:t>
      </w:r>
    </w:p>
    <w:p w:rsidR="0089471F" w:rsidRDefault="00172668">
      <w:pPr>
        <w:spacing w:line="590" w:lineRule="exact"/>
        <w:ind w:firstLine="643"/>
        <w:rPr>
          <w:rFonts w:hint="eastAsia"/>
          <w:szCs w:val="32"/>
          <w:lang w:bidi="ar"/>
        </w:rPr>
      </w:pPr>
      <w:r>
        <w:rPr>
          <w:rFonts w:eastAsia="方正楷体_GBK" w:hint="eastAsia"/>
          <w:b/>
          <w:szCs w:val="32"/>
          <w:lang w:bidi="ar"/>
        </w:rPr>
        <w:t>（十七）加强规划引领。</w:t>
      </w:r>
      <w:r>
        <w:rPr>
          <w:rFonts w:hint="eastAsia"/>
          <w:szCs w:val="32"/>
          <w:lang w:bidi="ar"/>
        </w:rPr>
        <w:t>统筹全省游艇业发展，编制江苏省游艇业发展专项规划，明确游艇业发展目标，确定游艇业发展重点任务及保障措施。</w:t>
      </w:r>
    </w:p>
    <w:p w:rsidR="0089471F" w:rsidRDefault="00172668">
      <w:pPr>
        <w:spacing w:line="590" w:lineRule="exact"/>
        <w:ind w:firstLine="643"/>
        <w:rPr>
          <w:rFonts w:hint="eastAsia"/>
          <w:szCs w:val="32"/>
          <w:lang w:bidi="ar"/>
        </w:rPr>
      </w:pPr>
      <w:r>
        <w:rPr>
          <w:rFonts w:eastAsia="方正楷体_GBK" w:hint="eastAsia"/>
          <w:b/>
          <w:szCs w:val="32"/>
          <w:lang w:bidi="ar"/>
        </w:rPr>
        <w:t>（十八）推动游艇管理立法。</w:t>
      </w:r>
      <w:bookmarkStart w:id="5" w:name="_Hlk208662306"/>
      <w:r w:rsidRPr="00614CB1">
        <w:rPr>
          <w:rFonts w:hint="eastAsia"/>
          <w:szCs w:val="32"/>
          <w:lang w:bidi="ar"/>
        </w:rPr>
        <w:t>加快</w:t>
      </w:r>
      <w:r>
        <w:rPr>
          <w:rFonts w:hint="eastAsia"/>
          <w:szCs w:val="32"/>
          <w:lang w:bidi="ar"/>
        </w:rPr>
        <w:t>启动江苏省游艇管理的立法工作，及时制定出台法规、规章或行政规范性文件，从源头上规范游艇及游艇俱乐部管理，破解发展制约，促进游艇业安全、健康发展。</w:t>
      </w:r>
      <w:bookmarkEnd w:id="5"/>
    </w:p>
    <w:p w:rsidR="0089471F" w:rsidRDefault="00172668">
      <w:pPr>
        <w:spacing w:line="590" w:lineRule="exact"/>
        <w:ind w:firstLine="643"/>
        <w:rPr>
          <w:rFonts w:hint="eastAsia"/>
          <w:szCs w:val="32"/>
          <w:lang w:bidi="ar"/>
        </w:rPr>
      </w:pPr>
      <w:r>
        <w:rPr>
          <w:rFonts w:eastAsia="方正楷体_GBK" w:hint="eastAsia"/>
          <w:b/>
          <w:szCs w:val="32"/>
          <w:lang w:bidi="ar"/>
        </w:rPr>
        <w:t>（十九）加大财政金融支持。</w:t>
      </w:r>
      <w:r>
        <w:rPr>
          <w:rFonts w:hint="eastAsia"/>
          <w:szCs w:val="32"/>
          <w:lang w:bidi="ar"/>
        </w:rPr>
        <w:t>探索对游艇发展的金融支持，推动为游艇建造、购买及相关基础设施建设提供贷款和融资租赁等服务，并纳入我省“交运贷”“交运租”贴息支持范围。鼓励社会资本设立游艇产业发展基金，支持游艇产业领域重大项目建设和高成长性、初创型企业发展。引导提升数字服务水平，对游艇公共管理与服务信息化项目给予一定的资金支持。鼓励保险机构探索开展游艇相关保险业务，优化保险产品和服务，满足不同群体风险保障需求。</w:t>
      </w:r>
    </w:p>
    <w:p w:rsidR="00777159" w:rsidRDefault="00172668">
      <w:pPr>
        <w:spacing w:line="590" w:lineRule="exact"/>
        <w:ind w:firstLine="643"/>
        <w:rPr>
          <w:rFonts w:eastAsia="方正楷体_GBK"/>
          <w:b/>
          <w:szCs w:val="32"/>
          <w:lang w:bidi="ar"/>
        </w:rPr>
      </w:pPr>
      <w:r>
        <w:rPr>
          <w:rFonts w:eastAsia="方正楷体_GBK" w:hint="eastAsia"/>
          <w:b/>
          <w:szCs w:val="32"/>
          <w:lang w:bidi="ar"/>
        </w:rPr>
        <w:t>（二十）组织开展试点示范。</w:t>
      </w:r>
      <w:r>
        <w:rPr>
          <w:rFonts w:hint="eastAsia"/>
          <w:szCs w:val="32"/>
          <w:lang w:bidi="ar"/>
        </w:rPr>
        <w:t>支持无锡、苏州市开展游艇业发展试点，围绕游艇业发展存在的问题及制约因素，在游艇租赁、</w:t>
      </w:r>
      <w:r>
        <w:rPr>
          <w:rFonts w:hint="eastAsia"/>
          <w:szCs w:val="32"/>
          <w:lang w:bidi="ar"/>
        </w:rPr>
        <w:lastRenderedPageBreak/>
        <w:t>制度建设、财政金融、消费业态培育、人才培养等方面积极探索游艇业发展路径，形成可复制可推广的经验，为全省游艇业高质量发展提供方案。</w:t>
      </w:r>
    </w:p>
    <w:sectPr w:rsidR="00777159">
      <w:footerReference w:type="default" r:id="rId8"/>
      <w:pgSz w:w="11906" w:h="16838"/>
      <w:pgMar w:top="2098" w:right="1474" w:bottom="1984" w:left="158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1620" w:rsidRDefault="00451620">
      <w:pPr>
        <w:spacing w:line="240" w:lineRule="auto"/>
      </w:pPr>
      <w:r>
        <w:separator/>
      </w:r>
    </w:p>
  </w:endnote>
  <w:endnote w:type="continuationSeparator" w:id="0">
    <w:p w:rsidR="00451620" w:rsidRDefault="004516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00007843" w:usb2="00000001" w:usb3="00000000" w:csb0="000001FF"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159" w:rsidRDefault="00172668">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77159" w:rsidRDefault="00172668">
                          <w:pPr>
                            <w:pStyle w:val="a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9471F">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777159" w:rsidRDefault="00172668">
                    <w:pPr>
                      <w:pStyle w:val="a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9471F">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1620" w:rsidRDefault="00451620">
      <w:pPr>
        <w:spacing w:line="240" w:lineRule="auto"/>
      </w:pPr>
      <w:r>
        <w:separator/>
      </w:r>
    </w:p>
  </w:footnote>
  <w:footnote w:type="continuationSeparator" w:id="0">
    <w:p w:rsidR="00451620" w:rsidRDefault="00451620">
      <w:pPr>
        <w:spacing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潘 雷">
    <w15:presenceInfo w15:providerId="Windows Live" w15:userId="87554c57a3d1ddea"/>
  </w15:person>
  <w15:person w15:author="TJQ">
    <w15:presenceInfo w15:providerId="WPS Office" w15:userId="33708519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840"/>
    <w:rsid w:val="00092829"/>
    <w:rsid w:val="000D027A"/>
    <w:rsid w:val="00172668"/>
    <w:rsid w:val="00451620"/>
    <w:rsid w:val="00535840"/>
    <w:rsid w:val="005A0A20"/>
    <w:rsid w:val="00614CB1"/>
    <w:rsid w:val="00636A23"/>
    <w:rsid w:val="00695DD3"/>
    <w:rsid w:val="00777159"/>
    <w:rsid w:val="0089471F"/>
    <w:rsid w:val="00CE06C4"/>
    <w:rsid w:val="00D206A3"/>
    <w:rsid w:val="6D893A95"/>
    <w:rsid w:val="778B60AF"/>
    <w:rsid w:val="7BF86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ascii="Times New Roman" w:eastAsia="方正仿宋_GBK"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paragraph" w:styleId="a5">
    <w:name w:val="Title"/>
    <w:basedOn w:val="a"/>
    <w:next w:val="a"/>
    <w:link w:val="Char1"/>
    <w:qFormat/>
    <w:pPr>
      <w:spacing w:beforeLines="100" w:afterLines="100" w:line="700" w:lineRule="atLeast"/>
      <w:ind w:firstLine="0"/>
      <w:jc w:val="center"/>
      <w:outlineLvl w:val="0"/>
    </w:pPr>
    <w:rPr>
      <w:rFonts w:ascii="Cambria" w:eastAsia="方正小标宋_GBK" w:hAnsi="Cambria"/>
      <w:bCs/>
      <w:sz w:val="44"/>
      <w:szCs w:val="32"/>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character" w:customStyle="1" w:styleId="Char2">
    <w:name w:val="标题 Char"/>
    <w:basedOn w:val="a0"/>
    <w:uiPriority w:val="10"/>
    <w:qFormat/>
    <w:rPr>
      <w:rFonts w:asciiTheme="majorHAnsi" w:eastAsia="宋体" w:hAnsiTheme="majorHAnsi" w:cstheme="majorBidi"/>
      <w:b/>
      <w:bCs/>
      <w:kern w:val="0"/>
      <w:sz w:val="32"/>
      <w:szCs w:val="32"/>
    </w:rPr>
  </w:style>
  <w:style w:type="paragraph" w:customStyle="1" w:styleId="a6">
    <w:name w:val="密级急件"/>
    <w:basedOn w:val="a"/>
    <w:qFormat/>
    <w:pPr>
      <w:adjustRightInd w:val="0"/>
      <w:spacing w:line="560" w:lineRule="atLeast"/>
      <w:ind w:firstLine="0"/>
      <w:jc w:val="left"/>
    </w:pPr>
    <w:rPr>
      <w:rFonts w:eastAsia="方正黑体_GBK"/>
    </w:rPr>
  </w:style>
  <w:style w:type="paragraph" w:customStyle="1" w:styleId="a7">
    <w:name w:val="大标题"/>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附件标识"/>
    <w:basedOn w:val="a"/>
    <w:qFormat/>
    <w:pPr>
      <w:spacing w:line="590" w:lineRule="exact"/>
      <w:ind w:rightChars="-14" w:right="-44" w:firstLine="0"/>
    </w:pPr>
    <w:rPr>
      <w:rFonts w:ascii="黑体" w:eastAsia="黑体" w:hAnsi="黑体" w:cs="宋体"/>
    </w:rPr>
  </w:style>
  <w:style w:type="paragraph" w:customStyle="1" w:styleId="a9">
    <w:name w:val="附件栏"/>
    <w:basedOn w:val="a"/>
    <w:qFormat/>
  </w:style>
  <w:style w:type="character" w:customStyle="1" w:styleId="Char1">
    <w:name w:val="标题 Char1"/>
    <w:link w:val="a5"/>
    <w:qFormat/>
    <w:locked/>
    <w:rPr>
      <w:rFonts w:ascii="Cambria" w:eastAsia="方正小标宋_GBK" w:hAnsi="Cambria" w:cs="Times New Roman"/>
      <w:bCs/>
      <w:kern w:val="0"/>
      <w:sz w:val="44"/>
      <w:szCs w:val="32"/>
    </w:rPr>
  </w:style>
  <w:style w:type="paragraph" w:customStyle="1" w:styleId="1">
    <w:name w:val="修订1"/>
    <w:hidden/>
    <w:uiPriority w:val="99"/>
    <w:semiHidden/>
    <w:qFormat/>
    <w:rPr>
      <w:rFonts w:ascii="Times New Roman" w:eastAsia="方正仿宋_GBK" w:hAnsi="Times New Roman" w:cs="Times New Roman"/>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ascii="Times New Roman" w:eastAsia="方正仿宋_GBK"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paragraph" w:styleId="a5">
    <w:name w:val="Title"/>
    <w:basedOn w:val="a"/>
    <w:next w:val="a"/>
    <w:link w:val="Char1"/>
    <w:qFormat/>
    <w:pPr>
      <w:spacing w:beforeLines="100" w:afterLines="100" w:line="700" w:lineRule="atLeast"/>
      <w:ind w:firstLine="0"/>
      <w:jc w:val="center"/>
      <w:outlineLvl w:val="0"/>
    </w:pPr>
    <w:rPr>
      <w:rFonts w:ascii="Cambria" w:eastAsia="方正小标宋_GBK" w:hAnsi="Cambria"/>
      <w:bCs/>
      <w:sz w:val="44"/>
      <w:szCs w:val="32"/>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character" w:customStyle="1" w:styleId="Char2">
    <w:name w:val="标题 Char"/>
    <w:basedOn w:val="a0"/>
    <w:uiPriority w:val="10"/>
    <w:qFormat/>
    <w:rPr>
      <w:rFonts w:asciiTheme="majorHAnsi" w:eastAsia="宋体" w:hAnsiTheme="majorHAnsi" w:cstheme="majorBidi"/>
      <w:b/>
      <w:bCs/>
      <w:kern w:val="0"/>
      <w:sz w:val="32"/>
      <w:szCs w:val="32"/>
    </w:rPr>
  </w:style>
  <w:style w:type="paragraph" w:customStyle="1" w:styleId="a6">
    <w:name w:val="密级急件"/>
    <w:basedOn w:val="a"/>
    <w:qFormat/>
    <w:pPr>
      <w:adjustRightInd w:val="0"/>
      <w:spacing w:line="560" w:lineRule="atLeast"/>
      <w:ind w:firstLine="0"/>
      <w:jc w:val="left"/>
    </w:pPr>
    <w:rPr>
      <w:rFonts w:eastAsia="方正黑体_GBK"/>
    </w:rPr>
  </w:style>
  <w:style w:type="paragraph" w:customStyle="1" w:styleId="a7">
    <w:name w:val="大标题"/>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附件标识"/>
    <w:basedOn w:val="a"/>
    <w:qFormat/>
    <w:pPr>
      <w:spacing w:line="590" w:lineRule="exact"/>
      <w:ind w:rightChars="-14" w:right="-44" w:firstLine="0"/>
    </w:pPr>
    <w:rPr>
      <w:rFonts w:ascii="黑体" w:eastAsia="黑体" w:hAnsi="黑体" w:cs="宋体"/>
    </w:rPr>
  </w:style>
  <w:style w:type="paragraph" w:customStyle="1" w:styleId="a9">
    <w:name w:val="附件栏"/>
    <w:basedOn w:val="a"/>
    <w:qFormat/>
  </w:style>
  <w:style w:type="character" w:customStyle="1" w:styleId="Char1">
    <w:name w:val="标题 Char1"/>
    <w:link w:val="a5"/>
    <w:qFormat/>
    <w:locked/>
    <w:rPr>
      <w:rFonts w:ascii="Cambria" w:eastAsia="方正小标宋_GBK" w:hAnsi="Cambria" w:cs="Times New Roman"/>
      <w:bCs/>
      <w:kern w:val="0"/>
      <w:sz w:val="44"/>
      <w:szCs w:val="32"/>
    </w:rPr>
  </w:style>
  <w:style w:type="paragraph" w:customStyle="1" w:styleId="1">
    <w:name w:val="修订1"/>
    <w:hidden/>
    <w:uiPriority w:val="99"/>
    <w:semiHidden/>
    <w:qFormat/>
    <w:rPr>
      <w:rFonts w:ascii="Times New Roman" w:eastAsia="方正仿宋_GBK" w:hAnsi="Times New Roman" w:cs="Times New Roman"/>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460</Words>
  <Characters>2625</Characters>
  <Application>Microsoft Office Word</Application>
  <DocSecurity>0</DocSecurity>
  <Lines>21</Lines>
  <Paragraphs>6</Paragraphs>
  <ScaleCrop>false</ScaleCrop>
  <Company>神州网信技术有限公司</Company>
  <LinksUpToDate>false</LinksUpToDate>
  <CharactersWithSpaces>3079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吴颖</dc:creator>
  <cp:lastModifiedBy>郝卫</cp:lastModifiedBy>
  <cp:revision>6</cp:revision>
  <dcterms:created xsi:type="dcterms:W3CDTF">2025-09-17T06:52:00Z</dcterms:created>
  <dcterms:modified xsi:type="dcterms:W3CDTF">2025-09-22T09:20:00Z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eyJoZGlkIjoiM2Y4MjhhNWVlNmYxMmFhZDhhZDE1ODlkYzVkNjY0ZDkiLCJ1c2VySWQiOiIyNTA5ODA2ODkifQ==</vt:lpwstr>
  </property>
  <property fmtid="{D5CDD505-2E9C-101B-9397-08002B2CF9AE}" pid="3" name="KSOProductBuildVer">
    <vt:lpwstr>2052-12.1.0.22529</vt:lpwstr>
  </property>
  <property fmtid="{D5CDD505-2E9C-101B-9397-08002B2CF9AE}" pid="4" name="ICV">
    <vt:lpwstr>17D0510060714A6A85149B03E0089F1C_13</vt:lpwstr>
  </property>
</Properties>
</file>