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4B1B21">
      <w:pPr>
        <w:pStyle w:val="16"/>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黑体" w:hAnsi="黑体" w:eastAsia="黑体" w:cs="黑体"/>
          <w:sz w:val="48"/>
          <w:szCs w:val="48"/>
          <w:lang w:val="en-US" w:eastAsia="zh-CN"/>
        </w:rPr>
      </w:pPr>
    </w:p>
    <w:p w14:paraId="1296D301">
      <w:pPr>
        <w:pStyle w:val="16"/>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黑体" w:hAnsi="黑体" w:eastAsia="黑体" w:cs="黑体"/>
          <w:sz w:val="48"/>
          <w:szCs w:val="48"/>
          <w:lang w:val="en-US" w:eastAsia="zh-CN"/>
        </w:rPr>
      </w:pPr>
    </w:p>
    <w:p w14:paraId="2F1B5DF4">
      <w:pPr>
        <w:pStyle w:val="16"/>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黑体" w:hAnsi="黑体" w:eastAsia="黑体" w:cs="黑体"/>
          <w:sz w:val="48"/>
          <w:szCs w:val="48"/>
          <w:lang w:val="en-US" w:eastAsia="zh-CN"/>
        </w:rPr>
      </w:pPr>
    </w:p>
    <w:p w14:paraId="799758A7">
      <w:pPr>
        <w:pStyle w:val="16"/>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黑体" w:hAnsi="黑体" w:eastAsia="黑体" w:cs="黑体"/>
          <w:sz w:val="48"/>
          <w:szCs w:val="48"/>
          <w:lang w:val="en-US" w:eastAsia="zh-CN"/>
        </w:rPr>
      </w:pPr>
    </w:p>
    <w:p w14:paraId="76E3FE48">
      <w:pPr>
        <w:pStyle w:val="16"/>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黑体" w:hAnsi="黑体" w:eastAsia="黑体" w:cs="黑体"/>
          <w:sz w:val="48"/>
          <w:szCs w:val="48"/>
          <w:lang w:val="en-US" w:eastAsia="zh-CN"/>
        </w:rPr>
      </w:pPr>
      <w:r>
        <w:rPr>
          <w:rFonts w:hint="eastAsia" w:ascii="黑体" w:hAnsi="黑体" w:eastAsia="黑体" w:cs="黑体"/>
          <w:sz w:val="48"/>
          <w:szCs w:val="48"/>
          <w:lang w:val="en-US" w:eastAsia="zh-CN"/>
        </w:rPr>
        <w:t>长三角区域标准</w:t>
      </w:r>
    </w:p>
    <w:p w14:paraId="744190D0">
      <w:pPr>
        <w:pStyle w:val="16"/>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黑体" w:hAnsi="黑体" w:eastAsia="黑体" w:cs="黑体"/>
          <w:sz w:val="48"/>
          <w:szCs w:val="48"/>
          <w:lang w:val="en-US" w:eastAsia="zh-CN"/>
        </w:rPr>
      </w:pPr>
      <w:r>
        <w:rPr>
          <w:rFonts w:hint="eastAsia" w:ascii="黑体" w:hAnsi="黑体" w:eastAsia="黑体" w:cs="黑体"/>
          <w:sz w:val="48"/>
          <w:szCs w:val="48"/>
          <w:lang w:val="en-US" w:eastAsia="zh-CN"/>
        </w:rPr>
        <w:t>《公路边坡自动化监测技术规程》</w:t>
      </w:r>
    </w:p>
    <w:p w14:paraId="394CCAB4">
      <w:pPr>
        <w:pStyle w:val="16"/>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黑体" w:hAnsi="黑体" w:eastAsia="黑体" w:cs="黑体"/>
          <w:sz w:val="48"/>
          <w:szCs w:val="48"/>
          <w:lang w:val="en-US" w:eastAsia="zh-CN"/>
        </w:rPr>
      </w:pPr>
    </w:p>
    <w:p w14:paraId="77364A84">
      <w:pPr>
        <w:pStyle w:val="16"/>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Times New Roman" w:hAnsi="Times New Roman" w:eastAsia="宋体"/>
          <w:b/>
          <w:bCs/>
          <w:sz w:val="48"/>
          <w:szCs w:val="48"/>
          <w:lang w:val="en-US" w:eastAsia="zh-CN"/>
        </w:rPr>
      </w:pPr>
    </w:p>
    <w:p w14:paraId="5B982C3C">
      <w:pPr>
        <w:pStyle w:val="16"/>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方正小标宋简体" w:hAnsi="方正小标宋简体" w:eastAsia="方正小标宋简体" w:cs="方正小标宋简体"/>
          <w:b/>
          <w:bCs/>
          <w:sz w:val="48"/>
          <w:szCs w:val="48"/>
          <w:lang w:val="en-US" w:eastAsia="zh-CN"/>
        </w:rPr>
      </w:pPr>
      <w:r>
        <w:rPr>
          <w:rFonts w:hint="eastAsia" w:ascii="方正小标宋简体" w:hAnsi="方正小标宋简体" w:eastAsia="方正小标宋简体" w:cs="方正小标宋简体"/>
          <w:b/>
          <w:bCs/>
          <w:sz w:val="48"/>
          <w:szCs w:val="48"/>
          <w:lang w:val="en-US" w:eastAsia="zh-CN"/>
        </w:rPr>
        <w:t>编</w:t>
      </w:r>
    </w:p>
    <w:p w14:paraId="445777CE">
      <w:pPr>
        <w:pStyle w:val="16"/>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方正小标宋简体" w:hAnsi="方正小标宋简体" w:eastAsia="方正小标宋简体" w:cs="方正小标宋简体"/>
          <w:b/>
          <w:bCs/>
          <w:sz w:val="48"/>
          <w:szCs w:val="48"/>
          <w:lang w:val="en-US" w:eastAsia="zh-CN"/>
        </w:rPr>
      </w:pPr>
      <w:r>
        <w:rPr>
          <w:rFonts w:hint="eastAsia" w:ascii="方正小标宋简体" w:hAnsi="方正小标宋简体" w:eastAsia="方正小标宋简体" w:cs="方正小标宋简体"/>
          <w:b/>
          <w:bCs/>
          <w:sz w:val="48"/>
          <w:szCs w:val="48"/>
          <w:lang w:val="en-US" w:eastAsia="zh-CN"/>
        </w:rPr>
        <w:t>制</w:t>
      </w:r>
    </w:p>
    <w:p w14:paraId="053CACEC">
      <w:pPr>
        <w:pStyle w:val="16"/>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方正小标宋简体" w:hAnsi="方正小标宋简体" w:eastAsia="方正小标宋简体" w:cs="方正小标宋简体"/>
          <w:b/>
          <w:bCs/>
          <w:sz w:val="48"/>
          <w:szCs w:val="48"/>
          <w:lang w:val="en-US" w:eastAsia="zh-CN"/>
        </w:rPr>
      </w:pPr>
      <w:r>
        <w:rPr>
          <w:rFonts w:hint="eastAsia" w:ascii="方正小标宋简体" w:hAnsi="方正小标宋简体" w:eastAsia="方正小标宋简体" w:cs="方正小标宋简体"/>
          <w:b/>
          <w:bCs/>
          <w:sz w:val="48"/>
          <w:szCs w:val="48"/>
          <w:lang w:val="en-US" w:eastAsia="zh-CN"/>
        </w:rPr>
        <w:t>说</w:t>
      </w:r>
    </w:p>
    <w:p w14:paraId="331456F6">
      <w:pPr>
        <w:pStyle w:val="16"/>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方正小标宋简体" w:hAnsi="方正小标宋简体" w:eastAsia="方正小标宋简体" w:cs="方正小标宋简体"/>
          <w:b/>
          <w:bCs/>
          <w:sz w:val="48"/>
          <w:szCs w:val="48"/>
          <w:lang w:val="en-US" w:eastAsia="zh-CN"/>
        </w:rPr>
      </w:pPr>
      <w:r>
        <w:rPr>
          <w:rFonts w:hint="eastAsia" w:ascii="方正小标宋简体" w:hAnsi="方正小标宋简体" w:eastAsia="方正小标宋简体" w:cs="方正小标宋简体"/>
          <w:b/>
          <w:bCs/>
          <w:sz w:val="48"/>
          <w:szCs w:val="48"/>
          <w:lang w:val="en-US" w:eastAsia="zh-CN"/>
        </w:rPr>
        <w:t>明</w:t>
      </w:r>
    </w:p>
    <w:p w14:paraId="488F9F4E">
      <w:pPr>
        <w:pStyle w:val="16"/>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rPr>
          <w:rFonts w:hint="eastAsia" w:ascii="Times New Roman" w:hAnsi="Times New Roman" w:eastAsia="宋体"/>
          <w:sz w:val="24"/>
          <w:szCs w:val="28"/>
          <w:lang w:val="en-US" w:eastAsia="zh-CN"/>
        </w:rPr>
      </w:pPr>
    </w:p>
    <w:p w14:paraId="3BB9E34F">
      <w:pPr>
        <w:pStyle w:val="16"/>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rPr>
          <w:rFonts w:hint="eastAsia" w:ascii="Times New Roman" w:hAnsi="Times New Roman" w:eastAsia="宋体"/>
          <w:sz w:val="24"/>
          <w:szCs w:val="28"/>
          <w:lang w:val="en-US" w:eastAsia="zh-CN"/>
        </w:rPr>
      </w:pPr>
    </w:p>
    <w:p w14:paraId="071C55C6">
      <w:pPr>
        <w:pStyle w:val="16"/>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rPr>
          <w:rFonts w:hint="eastAsia" w:ascii="Times New Roman" w:hAnsi="Times New Roman" w:eastAsia="宋体"/>
          <w:sz w:val="24"/>
          <w:szCs w:val="28"/>
          <w:lang w:val="en-US" w:eastAsia="zh-CN"/>
        </w:rPr>
      </w:pPr>
    </w:p>
    <w:p w14:paraId="7F40F53D">
      <w:pPr>
        <w:pStyle w:val="16"/>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rPr>
          <w:rFonts w:hint="eastAsia" w:ascii="Times New Roman" w:hAnsi="Times New Roman" w:eastAsia="宋体"/>
          <w:sz w:val="24"/>
          <w:szCs w:val="28"/>
          <w:lang w:val="en-US" w:eastAsia="zh-CN"/>
        </w:rPr>
      </w:pPr>
    </w:p>
    <w:p w14:paraId="7CF9FB47">
      <w:pPr>
        <w:pStyle w:val="16"/>
        <w:keepNext w:val="0"/>
        <w:keepLines w:val="0"/>
        <w:pageBreakBefore w:val="0"/>
        <w:widowControl w:val="0"/>
        <w:kinsoku/>
        <w:wordWrap/>
        <w:overflowPunct/>
        <w:topLinePunct w:val="0"/>
        <w:autoSpaceDE/>
        <w:autoSpaceDN/>
        <w:bidi w:val="0"/>
        <w:adjustRightInd/>
        <w:snapToGrid/>
        <w:spacing w:line="480" w:lineRule="auto"/>
        <w:ind w:left="0" w:leftChars="0" w:firstLine="0" w:firstLineChars="0"/>
        <w:jc w:val="center"/>
        <w:textAlignment w:val="auto"/>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《公路边坡自动化监测技术规程》编制组</w:t>
      </w:r>
    </w:p>
    <w:p w14:paraId="528268CE">
      <w:pPr>
        <w:pStyle w:val="16"/>
        <w:keepNext w:val="0"/>
        <w:keepLines w:val="0"/>
        <w:pageBreakBefore w:val="0"/>
        <w:widowControl w:val="0"/>
        <w:kinsoku/>
        <w:wordWrap/>
        <w:overflowPunct/>
        <w:topLinePunct w:val="0"/>
        <w:autoSpaceDE/>
        <w:autoSpaceDN/>
        <w:bidi w:val="0"/>
        <w:adjustRightInd/>
        <w:snapToGrid/>
        <w:spacing w:line="480" w:lineRule="auto"/>
        <w:ind w:left="0" w:leftChars="0" w:firstLine="0" w:firstLineChars="0"/>
        <w:jc w:val="center"/>
        <w:textAlignment w:val="auto"/>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二〇二六年四月</w:t>
      </w:r>
    </w:p>
    <w:p w14:paraId="4E9AD21F">
      <w:pPr>
        <w:pStyle w:val="16"/>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rPr>
          <w:rFonts w:hint="eastAsia" w:ascii="Times New Roman" w:hAnsi="Times New Roman" w:eastAsia="宋体"/>
          <w:sz w:val="24"/>
          <w:szCs w:val="28"/>
          <w:lang w:val="en-US" w:eastAsia="zh-CN"/>
        </w:rPr>
      </w:pPr>
    </w:p>
    <w:p w14:paraId="7BDD8536">
      <w:pPr>
        <w:pStyle w:val="16"/>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rPr>
          <w:rFonts w:hint="eastAsia" w:ascii="Times New Roman" w:hAnsi="Times New Roman" w:eastAsia="宋体"/>
          <w:sz w:val="24"/>
          <w:szCs w:val="28"/>
          <w:lang w:val="en-US" w:eastAsia="zh-CN"/>
        </w:rPr>
        <w:sectPr>
          <w:footerReference r:id="rId3" w:type="default"/>
          <w:pgSz w:w="11906" w:h="16838"/>
          <w:pgMar w:top="1440" w:right="1800" w:bottom="1440" w:left="1800" w:header="851" w:footer="992" w:gutter="0"/>
          <w:pgNumType w:fmt="decimal"/>
          <w:cols w:space="425" w:num="1"/>
          <w:docGrid w:type="lines" w:linePitch="312" w:charSpace="0"/>
        </w:sectPr>
      </w:pPr>
    </w:p>
    <w:sdt>
      <w:sdtPr>
        <w:rPr>
          <w:rFonts w:ascii="宋体" w:hAnsi="宋体" w:eastAsia="宋体" w:cstheme="minorBidi"/>
          <w:kern w:val="2"/>
          <w:sz w:val="21"/>
          <w:szCs w:val="22"/>
          <w:lang w:val="en-US" w:eastAsia="zh-CN" w:bidi="ar-SA"/>
        </w:rPr>
        <w:id w:val="147470606"/>
        <w15:color w:val="DBDBDB"/>
        <w:docPartObj>
          <w:docPartGallery w:val="Table of Contents"/>
          <w:docPartUnique/>
        </w:docPartObj>
      </w:sdtPr>
      <w:sdtEndPr>
        <w:rPr>
          <w:rFonts w:hint="eastAsia" w:ascii="黑体" w:hAnsi="黑体" w:eastAsia="黑体" w:cs="黑体"/>
          <w:bCs/>
          <w:kern w:val="2"/>
          <w:sz w:val="28"/>
          <w:szCs w:val="28"/>
          <w:lang w:val="en-US" w:eastAsia="zh-CN" w:bidi="ar-SA"/>
        </w:rPr>
      </w:sdtEndPr>
      <w:sdtContent>
        <w:p w14:paraId="5A7DED1F">
          <w:pPr>
            <w:spacing w:before="0" w:beforeLines="0" w:after="0" w:afterLines="0" w:line="240" w:lineRule="auto"/>
            <w:ind w:left="0" w:leftChars="0" w:right="0" w:rightChars="0" w:firstLine="0" w:firstLineChars="0"/>
            <w:jc w:val="center"/>
          </w:pPr>
          <w:r>
            <w:rPr>
              <w:rFonts w:ascii="宋体" w:hAnsi="宋体" w:eastAsia="宋体"/>
              <w:sz w:val="21"/>
            </w:rPr>
            <w:t>目录</w:t>
          </w:r>
        </w:p>
        <w:p w14:paraId="5AC5113D">
          <w:pPr>
            <w:pStyle w:val="8"/>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ascii="Times New Roman" w:hAnsi="Times New Roman"/>
              <w:sz w:val="24"/>
              <w:szCs w:val="24"/>
            </w:rPr>
          </w:pPr>
          <w:r>
            <w:rPr>
              <w:rFonts w:hint="eastAsia" w:ascii="Times New Roman" w:hAnsi="Times New Roman" w:eastAsia="黑体" w:cs="黑体"/>
              <w:b/>
              <w:bCs/>
              <w:sz w:val="28"/>
              <w:szCs w:val="28"/>
              <w:lang w:val="en-US" w:eastAsia="zh-CN"/>
            </w:rPr>
            <w:fldChar w:fldCharType="begin"/>
          </w:r>
          <w:r>
            <w:rPr>
              <w:rFonts w:hint="eastAsia" w:ascii="Times New Roman" w:hAnsi="Times New Roman" w:eastAsia="黑体" w:cs="黑体"/>
              <w:b/>
              <w:bCs/>
              <w:sz w:val="28"/>
              <w:szCs w:val="28"/>
              <w:lang w:val="en-US" w:eastAsia="zh-CN"/>
            </w:rPr>
            <w:instrText xml:space="preserve">TOC \o "1-2" \h \u </w:instrText>
          </w:r>
          <w:r>
            <w:rPr>
              <w:rFonts w:hint="eastAsia" w:ascii="Times New Roman" w:hAnsi="Times New Roman" w:eastAsia="黑体" w:cs="黑体"/>
              <w:b/>
              <w:bCs/>
              <w:sz w:val="28"/>
              <w:szCs w:val="28"/>
              <w:lang w:val="en-US" w:eastAsia="zh-CN"/>
            </w:rPr>
            <w:fldChar w:fldCharType="separate"/>
          </w:r>
          <w:r>
            <w:rPr>
              <w:rFonts w:hint="eastAsia" w:ascii="Times New Roman" w:hAnsi="Times New Roman" w:eastAsia="黑体" w:cs="黑体"/>
              <w:bCs/>
              <w:sz w:val="24"/>
              <w:szCs w:val="24"/>
              <w:lang w:val="en-US" w:eastAsia="zh-CN"/>
            </w:rPr>
            <w:fldChar w:fldCharType="begin"/>
          </w:r>
          <w:r>
            <w:rPr>
              <w:rFonts w:hint="eastAsia" w:ascii="Times New Roman" w:hAnsi="Times New Roman" w:eastAsia="黑体" w:cs="黑体"/>
              <w:bCs/>
              <w:sz w:val="24"/>
              <w:szCs w:val="24"/>
              <w:lang w:val="en-US" w:eastAsia="zh-CN"/>
            </w:rPr>
            <w:instrText xml:space="preserve"> HYPERLINK \l _Toc8004 </w:instrText>
          </w:r>
          <w:r>
            <w:rPr>
              <w:rFonts w:hint="eastAsia" w:ascii="Times New Roman" w:hAnsi="Times New Roman" w:eastAsia="黑体" w:cs="黑体"/>
              <w:bCs/>
              <w:sz w:val="24"/>
              <w:szCs w:val="24"/>
              <w:lang w:val="en-US" w:eastAsia="zh-CN"/>
            </w:rPr>
            <w:fldChar w:fldCharType="separate"/>
          </w:r>
          <w:r>
            <w:rPr>
              <w:rFonts w:hint="eastAsia" w:ascii="Times New Roman" w:hAnsi="Times New Roman" w:eastAsia="黑体" w:cs="黑体"/>
              <w:bCs/>
              <w:kern w:val="2"/>
              <w:sz w:val="24"/>
              <w:szCs w:val="24"/>
              <w:lang w:val="en-US" w:eastAsia="zh-CN" w:bidi="ar-SA"/>
            </w:rPr>
            <w:t>一、</w:t>
          </w:r>
          <w:r>
            <w:rPr>
              <w:rFonts w:hint="eastAsia" w:ascii="Times New Roman" w:hAnsi="Times New Roman" w:eastAsia="黑体" w:cs="黑体"/>
              <w:bCs/>
              <w:sz w:val="24"/>
              <w:szCs w:val="24"/>
              <w:lang w:val="en-US" w:eastAsia="zh-CN"/>
            </w:rPr>
            <w:t>目的意义</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_Toc8004 \h </w:instrText>
          </w:r>
          <w:r>
            <w:rPr>
              <w:rFonts w:ascii="Times New Roman" w:hAnsi="Times New Roman"/>
              <w:sz w:val="24"/>
              <w:szCs w:val="24"/>
            </w:rPr>
            <w:fldChar w:fldCharType="separate"/>
          </w:r>
          <w:r>
            <w:rPr>
              <w:rFonts w:ascii="Times New Roman" w:hAnsi="Times New Roman"/>
              <w:sz w:val="24"/>
              <w:szCs w:val="24"/>
            </w:rPr>
            <w:t>1</w:t>
          </w:r>
          <w:r>
            <w:rPr>
              <w:rFonts w:ascii="Times New Roman" w:hAnsi="Times New Roman"/>
              <w:sz w:val="24"/>
              <w:szCs w:val="24"/>
            </w:rPr>
            <w:fldChar w:fldCharType="end"/>
          </w:r>
          <w:r>
            <w:rPr>
              <w:rFonts w:hint="eastAsia" w:ascii="Times New Roman" w:hAnsi="Times New Roman" w:eastAsia="黑体" w:cs="黑体"/>
              <w:bCs/>
              <w:sz w:val="24"/>
              <w:szCs w:val="24"/>
              <w:lang w:val="en-US" w:eastAsia="zh-CN"/>
            </w:rPr>
            <w:fldChar w:fldCharType="end"/>
          </w:r>
        </w:p>
        <w:p w14:paraId="76F5AE86">
          <w:pPr>
            <w:pStyle w:val="9"/>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ascii="Times New Roman" w:hAnsi="Times New Roman"/>
              <w:sz w:val="24"/>
              <w:szCs w:val="24"/>
            </w:rPr>
          </w:pPr>
          <w:r>
            <w:rPr>
              <w:rFonts w:hint="eastAsia" w:ascii="Times New Roman" w:hAnsi="Times New Roman" w:eastAsia="黑体" w:cs="黑体"/>
              <w:bCs/>
              <w:sz w:val="24"/>
              <w:szCs w:val="24"/>
              <w:lang w:val="en-US" w:eastAsia="zh-CN"/>
            </w:rPr>
            <w:fldChar w:fldCharType="begin"/>
          </w:r>
          <w:r>
            <w:rPr>
              <w:rFonts w:hint="eastAsia" w:ascii="Times New Roman" w:hAnsi="Times New Roman" w:eastAsia="黑体" w:cs="黑体"/>
              <w:bCs/>
              <w:sz w:val="24"/>
              <w:szCs w:val="24"/>
              <w:lang w:val="en-US" w:eastAsia="zh-CN"/>
            </w:rPr>
            <w:instrText xml:space="preserve"> HYPERLINK \l _Toc13126 </w:instrText>
          </w:r>
          <w:r>
            <w:rPr>
              <w:rFonts w:hint="eastAsia" w:ascii="Times New Roman" w:hAnsi="Times New Roman" w:eastAsia="黑体" w:cs="黑体"/>
              <w:bCs/>
              <w:sz w:val="24"/>
              <w:szCs w:val="24"/>
              <w:lang w:val="en-US" w:eastAsia="zh-CN"/>
            </w:rPr>
            <w:fldChar w:fldCharType="separate"/>
          </w:r>
          <w:r>
            <w:rPr>
              <w:rFonts w:hint="eastAsia" w:ascii="Times New Roman" w:hAnsi="Times New Roman" w:eastAsia="楷体_GB2312" w:cs="楷体_GB2312"/>
              <w:bCs/>
              <w:sz w:val="24"/>
              <w:szCs w:val="24"/>
              <w:lang w:eastAsia="zh-CN"/>
            </w:rPr>
            <w:t>（</w:t>
          </w:r>
          <w:r>
            <w:rPr>
              <w:rFonts w:hint="eastAsia" w:ascii="Times New Roman" w:hAnsi="Times New Roman" w:eastAsia="楷体_GB2312" w:cs="楷体_GB2312"/>
              <w:bCs/>
              <w:sz w:val="24"/>
              <w:szCs w:val="24"/>
              <w:lang w:val="en-US" w:eastAsia="zh-CN"/>
            </w:rPr>
            <w:t>一）编制背景</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_Toc13126 \h </w:instrText>
          </w:r>
          <w:r>
            <w:rPr>
              <w:rFonts w:ascii="Times New Roman" w:hAnsi="Times New Roman"/>
              <w:sz w:val="24"/>
              <w:szCs w:val="24"/>
            </w:rPr>
            <w:fldChar w:fldCharType="separate"/>
          </w:r>
          <w:r>
            <w:rPr>
              <w:rFonts w:ascii="Times New Roman" w:hAnsi="Times New Roman"/>
              <w:sz w:val="24"/>
              <w:szCs w:val="24"/>
            </w:rPr>
            <w:t>1</w:t>
          </w:r>
          <w:r>
            <w:rPr>
              <w:rFonts w:ascii="Times New Roman" w:hAnsi="Times New Roman"/>
              <w:sz w:val="24"/>
              <w:szCs w:val="24"/>
            </w:rPr>
            <w:fldChar w:fldCharType="end"/>
          </w:r>
          <w:r>
            <w:rPr>
              <w:rFonts w:hint="eastAsia" w:ascii="Times New Roman" w:hAnsi="Times New Roman" w:eastAsia="黑体" w:cs="黑体"/>
              <w:bCs/>
              <w:sz w:val="24"/>
              <w:szCs w:val="24"/>
              <w:lang w:val="en-US" w:eastAsia="zh-CN"/>
            </w:rPr>
            <w:fldChar w:fldCharType="end"/>
          </w:r>
        </w:p>
        <w:p w14:paraId="7FEF4D47">
          <w:pPr>
            <w:pStyle w:val="9"/>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ascii="Times New Roman" w:hAnsi="Times New Roman"/>
              <w:sz w:val="24"/>
              <w:szCs w:val="24"/>
            </w:rPr>
          </w:pPr>
          <w:r>
            <w:rPr>
              <w:rFonts w:hint="eastAsia" w:ascii="Times New Roman" w:hAnsi="Times New Roman" w:eastAsia="黑体" w:cs="黑体"/>
              <w:bCs/>
              <w:sz w:val="24"/>
              <w:szCs w:val="24"/>
              <w:lang w:val="en-US" w:eastAsia="zh-CN"/>
            </w:rPr>
            <w:fldChar w:fldCharType="begin"/>
          </w:r>
          <w:r>
            <w:rPr>
              <w:rFonts w:hint="eastAsia" w:ascii="Times New Roman" w:hAnsi="Times New Roman" w:eastAsia="黑体" w:cs="黑体"/>
              <w:bCs/>
              <w:sz w:val="24"/>
              <w:szCs w:val="24"/>
              <w:lang w:val="en-US" w:eastAsia="zh-CN"/>
            </w:rPr>
            <w:instrText xml:space="preserve"> HYPERLINK \l _Toc7888 </w:instrText>
          </w:r>
          <w:r>
            <w:rPr>
              <w:rFonts w:hint="eastAsia" w:ascii="Times New Roman" w:hAnsi="Times New Roman" w:eastAsia="黑体" w:cs="黑体"/>
              <w:bCs/>
              <w:sz w:val="24"/>
              <w:szCs w:val="24"/>
              <w:lang w:val="en-US" w:eastAsia="zh-CN"/>
            </w:rPr>
            <w:fldChar w:fldCharType="separate"/>
          </w:r>
          <w:r>
            <w:rPr>
              <w:rFonts w:hint="eastAsia" w:ascii="Times New Roman" w:hAnsi="Times New Roman" w:eastAsia="楷体_GB2312" w:cs="楷体_GB2312"/>
              <w:bCs/>
              <w:sz w:val="24"/>
              <w:szCs w:val="24"/>
              <w:lang w:eastAsia="zh-CN"/>
            </w:rPr>
            <w:t>（</w:t>
          </w:r>
          <w:r>
            <w:rPr>
              <w:rFonts w:hint="eastAsia" w:ascii="Times New Roman" w:hAnsi="Times New Roman" w:eastAsia="楷体_GB2312" w:cs="楷体_GB2312"/>
              <w:bCs/>
              <w:sz w:val="24"/>
              <w:szCs w:val="24"/>
              <w:lang w:val="en-US" w:eastAsia="zh-CN"/>
            </w:rPr>
            <w:t>二）编制目的及意义</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_Toc7888 \h </w:instrText>
          </w:r>
          <w:r>
            <w:rPr>
              <w:rFonts w:ascii="Times New Roman" w:hAnsi="Times New Roman"/>
              <w:sz w:val="24"/>
              <w:szCs w:val="24"/>
            </w:rPr>
            <w:fldChar w:fldCharType="separate"/>
          </w:r>
          <w:r>
            <w:rPr>
              <w:rFonts w:ascii="Times New Roman" w:hAnsi="Times New Roman"/>
              <w:sz w:val="24"/>
              <w:szCs w:val="24"/>
            </w:rPr>
            <w:t>5</w:t>
          </w:r>
          <w:r>
            <w:rPr>
              <w:rFonts w:ascii="Times New Roman" w:hAnsi="Times New Roman"/>
              <w:sz w:val="24"/>
              <w:szCs w:val="24"/>
            </w:rPr>
            <w:fldChar w:fldCharType="end"/>
          </w:r>
          <w:r>
            <w:rPr>
              <w:rFonts w:hint="eastAsia" w:ascii="Times New Roman" w:hAnsi="Times New Roman" w:eastAsia="黑体" w:cs="黑体"/>
              <w:bCs/>
              <w:sz w:val="24"/>
              <w:szCs w:val="24"/>
              <w:lang w:val="en-US" w:eastAsia="zh-CN"/>
            </w:rPr>
            <w:fldChar w:fldCharType="end"/>
          </w:r>
        </w:p>
        <w:p w14:paraId="0D53202A">
          <w:pPr>
            <w:pStyle w:val="8"/>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ascii="Times New Roman" w:hAnsi="Times New Roman"/>
              <w:sz w:val="24"/>
              <w:szCs w:val="24"/>
            </w:rPr>
          </w:pPr>
          <w:r>
            <w:rPr>
              <w:rFonts w:hint="eastAsia" w:ascii="Times New Roman" w:hAnsi="Times New Roman" w:eastAsia="黑体" w:cs="黑体"/>
              <w:bCs/>
              <w:sz w:val="24"/>
              <w:szCs w:val="24"/>
              <w:lang w:val="en-US" w:eastAsia="zh-CN"/>
            </w:rPr>
            <w:fldChar w:fldCharType="begin"/>
          </w:r>
          <w:r>
            <w:rPr>
              <w:rFonts w:hint="eastAsia" w:ascii="Times New Roman" w:hAnsi="Times New Roman" w:eastAsia="黑体" w:cs="黑体"/>
              <w:bCs/>
              <w:sz w:val="24"/>
              <w:szCs w:val="24"/>
              <w:lang w:val="en-US" w:eastAsia="zh-CN"/>
            </w:rPr>
            <w:instrText xml:space="preserve"> HYPERLINK \l _Toc23663 </w:instrText>
          </w:r>
          <w:r>
            <w:rPr>
              <w:rFonts w:hint="eastAsia" w:ascii="Times New Roman" w:hAnsi="Times New Roman" w:eastAsia="黑体" w:cs="黑体"/>
              <w:bCs/>
              <w:sz w:val="24"/>
              <w:szCs w:val="24"/>
              <w:lang w:val="en-US" w:eastAsia="zh-CN"/>
            </w:rPr>
            <w:fldChar w:fldCharType="separate"/>
          </w:r>
          <w:r>
            <w:rPr>
              <w:rFonts w:hint="eastAsia" w:ascii="Times New Roman" w:hAnsi="Times New Roman" w:eastAsia="黑体" w:cs="黑体"/>
              <w:bCs/>
              <w:kern w:val="2"/>
              <w:sz w:val="24"/>
              <w:szCs w:val="24"/>
              <w:lang w:val="en-US" w:eastAsia="zh-CN" w:bidi="ar-SA"/>
            </w:rPr>
            <w:t>二、</w:t>
          </w:r>
          <w:r>
            <w:rPr>
              <w:rFonts w:hint="eastAsia" w:ascii="Times New Roman" w:hAnsi="Times New Roman" w:eastAsia="黑体" w:cs="黑体"/>
              <w:bCs/>
              <w:sz w:val="24"/>
              <w:szCs w:val="24"/>
              <w:lang w:val="en-US" w:eastAsia="zh-CN"/>
            </w:rPr>
            <w:t>任务来源</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_Toc23663 \h </w:instrText>
          </w:r>
          <w:r>
            <w:rPr>
              <w:rFonts w:ascii="Times New Roman" w:hAnsi="Times New Roman"/>
              <w:sz w:val="24"/>
              <w:szCs w:val="24"/>
            </w:rPr>
            <w:fldChar w:fldCharType="separate"/>
          </w:r>
          <w:r>
            <w:rPr>
              <w:rFonts w:ascii="Times New Roman" w:hAnsi="Times New Roman"/>
              <w:sz w:val="24"/>
              <w:szCs w:val="24"/>
            </w:rPr>
            <w:t>6</w:t>
          </w:r>
          <w:r>
            <w:rPr>
              <w:rFonts w:ascii="Times New Roman" w:hAnsi="Times New Roman"/>
              <w:sz w:val="24"/>
              <w:szCs w:val="24"/>
            </w:rPr>
            <w:fldChar w:fldCharType="end"/>
          </w:r>
          <w:r>
            <w:rPr>
              <w:rFonts w:hint="eastAsia" w:ascii="Times New Roman" w:hAnsi="Times New Roman" w:eastAsia="黑体" w:cs="黑体"/>
              <w:bCs/>
              <w:sz w:val="24"/>
              <w:szCs w:val="24"/>
              <w:lang w:val="en-US" w:eastAsia="zh-CN"/>
            </w:rPr>
            <w:fldChar w:fldCharType="end"/>
          </w:r>
        </w:p>
        <w:p w14:paraId="71840C45">
          <w:pPr>
            <w:pStyle w:val="8"/>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ascii="Times New Roman" w:hAnsi="Times New Roman"/>
              <w:sz w:val="24"/>
              <w:szCs w:val="24"/>
            </w:rPr>
          </w:pPr>
          <w:r>
            <w:rPr>
              <w:rFonts w:hint="eastAsia" w:ascii="Times New Roman" w:hAnsi="Times New Roman" w:eastAsia="黑体" w:cs="黑体"/>
              <w:bCs/>
              <w:sz w:val="24"/>
              <w:szCs w:val="24"/>
              <w:lang w:val="en-US" w:eastAsia="zh-CN"/>
            </w:rPr>
            <w:fldChar w:fldCharType="begin"/>
          </w:r>
          <w:r>
            <w:rPr>
              <w:rFonts w:hint="eastAsia" w:ascii="Times New Roman" w:hAnsi="Times New Roman" w:eastAsia="黑体" w:cs="黑体"/>
              <w:bCs/>
              <w:sz w:val="24"/>
              <w:szCs w:val="24"/>
              <w:lang w:val="en-US" w:eastAsia="zh-CN"/>
            </w:rPr>
            <w:instrText xml:space="preserve"> HYPERLINK \l _Toc32267 </w:instrText>
          </w:r>
          <w:r>
            <w:rPr>
              <w:rFonts w:hint="eastAsia" w:ascii="Times New Roman" w:hAnsi="Times New Roman" w:eastAsia="黑体" w:cs="黑体"/>
              <w:bCs/>
              <w:sz w:val="24"/>
              <w:szCs w:val="24"/>
              <w:lang w:val="en-US" w:eastAsia="zh-CN"/>
            </w:rPr>
            <w:fldChar w:fldCharType="separate"/>
          </w:r>
          <w:r>
            <w:rPr>
              <w:rFonts w:hint="eastAsia" w:ascii="Times New Roman" w:hAnsi="Times New Roman" w:eastAsia="黑体" w:cs="黑体"/>
              <w:bCs/>
              <w:kern w:val="2"/>
              <w:sz w:val="24"/>
              <w:szCs w:val="24"/>
              <w:lang w:val="en-US" w:eastAsia="zh-CN" w:bidi="ar-SA"/>
            </w:rPr>
            <w:t>三、</w:t>
          </w:r>
          <w:r>
            <w:rPr>
              <w:rFonts w:hint="eastAsia" w:ascii="Times New Roman" w:hAnsi="Times New Roman" w:eastAsia="黑体" w:cs="黑体"/>
              <w:bCs/>
              <w:sz w:val="24"/>
              <w:szCs w:val="24"/>
              <w:lang w:val="en-US" w:eastAsia="zh-CN"/>
            </w:rPr>
            <w:t>编制过程</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_Toc32267 \h </w:instrText>
          </w:r>
          <w:r>
            <w:rPr>
              <w:rFonts w:ascii="Times New Roman" w:hAnsi="Times New Roman"/>
              <w:sz w:val="24"/>
              <w:szCs w:val="24"/>
            </w:rPr>
            <w:fldChar w:fldCharType="separate"/>
          </w:r>
          <w:r>
            <w:rPr>
              <w:rFonts w:ascii="Times New Roman" w:hAnsi="Times New Roman"/>
              <w:sz w:val="24"/>
              <w:szCs w:val="24"/>
            </w:rPr>
            <w:t>8</w:t>
          </w:r>
          <w:r>
            <w:rPr>
              <w:rFonts w:ascii="Times New Roman" w:hAnsi="Times New Roman"/>
              <w:sz w:val="24"/>
              <w:szCs w:val="24"/>
            </w:rPr>
            <w:fldChar w:fldCharType="end"/>
          </w:r>
          <w:r>
            <w:rPr>
              <w:rFonts w:hint="eastAsia" w:ascii="Times New Roman" w:hAnsi="Times New Roman" w:eastAsia="黑体" w:cs="黑体"/>
              <w:bCs/>
              <w:sz w:val="24"/>
              <w:szCs w:val="24"/>
              <w:lang w:val="en-US" w:eastAsia="zh-CN"/>
            </w:rPr>
            <w:fldChar w:fldCharType="end"/>
          </w:r>
        </w:p>
        <w:p w14:paraId="16FBD022">
          <w:pPr>
            <w:pStyle w:val="9"/>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ascii="Times New Roman" w:hAnsi="Times New Roman"/>
              <w:sz w:val="24"/>
              <w:szCs w:val="24"/>
            </w:rPr>
          </w:pPr>
          <w:r>
            <w:rPr>
              <w:rFonts w:hint="eastAsia" w:ascii="Times New Roman" w:hAnsi="Times New Roman" w:eastAsia="黑体" w:cs="黑体"/>
              <w:bCs/>
              <w:sz w:val="24"/>
              <w:szCs w:val="24"/>
              <w:lang w:val="en-US" w:eastAsia="zh-CN"/>
            </w:rPr>
            <w:fldChar w:fldCharType="begin"/>
          </w:r>
          <w:r>
            <w:rPr>
              <w:rFonts w:hint="eastAsia" w:ascii="Times New Roman" w:hAnsi="Times New Roman" w:eastAsia="黑体" w:cs="黑体"/>
              <w:bCs/>
              <w:sz w:val="24"/>
              <w:szCs w:val="24"/>
              <w:lang w:val="en-US" w:eastAsia="zh-CN"/>
            </w:rPr>
            <w:instrText xml:space="preserve"> HYPERLINK \l _Toc14398 </w:instrText>
          </w:r>
          <w:r>
            <w:rPr>
              <w:rFonts w:hint="eastAsia" w:ascii="Times New Roman" w:hAnsi="Times New Roman" w:eastAsia="黑体" w:cs="黑体"/>
              <w:bCs/>
              <w:sz w:val="24"/>
              <w:szCs w:val="24"/>
              <w:lang w:val="en-US" w:eastAsia="zh-CN"/>
            </w:rPr>
            <w:fldChar w:fldCharType="separate"/>
          </w:r>
          <w:r>
            <w:rPr>
              <w:rFonts w:hint="eastAsia" w:ascii="Times New Roman" w:hAnsi="Times New Roman" w:eastAsia="楷体_GB2312" w:cs="楷体_GB2312"/>
              <w:bCs/>
              <w:sz w:val="24"/>
              <w:szCs w:val="24"/>
              <w:lang w:val="en-US" w:eastAsia="zh-CN"/>
            </w:rPr>
            <w:t>（一）编制依据</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_Toc14398 \h </w:instrText>
          </w:r>
          <w:r>
            <w:rPr>
              <w:rFonts w:ascii="Times New Roman" w:hAnsi="Times New Roman"/>
              <w:sz w:val="24"/>
              <w:szCs w:val="24"/>
            </w:rPr>
            <w:fldChar w:fldCharType="separate"/>
          </w:r>
          <w:r>
            <w:rPr>
              <w:rFonts w:ascii="Times New Roman" w:hAnsi="Times New Roman"/>
              <w:sz w:val="24"/>
              <w:szCs w:val="24"/>
            </w:rPr>
            <w:t>8</w:t>
          </w:r>
          <w:r>
            <w:rPr>
              <w:rFonts w:ascii="Times New Roman" w:hAnsi="Times New Roman"/>
              <w:sz w:val="24"/>
              <w:szCs w:val="24"/>
            </w:rPr>
            <w:fldChar w:fldCharType="end"/>
          </w:r>
          <w:r>
            <w:rPr>
              <w:rFonts w:hint="eastAsia" w:ascii="Times New Roman" w:hAnsi="Times New Roman" w:eastAsia="黑体" w:cs="黑体"/>
              <w:bCs/>
              <w:sz w:val="24"/>
              <w:szCs w:val="24"/>
              <w:lang w:val="en-US" w:eastAsia="zh-CN"/>
            </w:rPr>
            <w:fldChar w:fldCharType="end"/>
          </w:r>
        </w:p>
        <w:p w14:paraId="6F592538">
          <w:pPr>
            <w:pStyle w:val="9"/>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ascii="Times New Roman" w:hAnsi="Times New Roman"/>
              <w:sz w:val="24"/>
              <w:szCs w:val="24"/>
            </w:rPr>
          </w:pPr>
          <w:r>
            <w:rPr>
              <w:rFonts w:hint="eastAsia" w:ascii="Times New Roman" w:hAnsi="Times New Roman" w:eastAsia="黑体" w:cs="黑体"/>
              <w:bCs/>
              <w:sz w:val="24"/>
              <w:szCs w:val="24"/>
              <w:lang w:val="en-US" w:eastAsia="zh-CN"/>
            </w:rPr>
            <w:fldChar w:fldCharType="begin"/>
          </w:r>
          <w:r>
            <w:rPr>
              <w:rFonts w:hint="eastAsia" w:ascii="Times New Roman" w:hAnsi="Times New Roman" w:eastAsia="黑体" w:cs="黑体"/>
              <w:bCs/>
              <w:sz w:val="24"/>
              <w:szCs w:val="24"/>
              <w:lang w:val="en-US" w:eastAsia="zh-CN"/>
            </w:rPr>
            <w:instrText xml:space="preserve"> HYPERLINK \l _Toc24899 </w:instrText>
          </w:r>
          <w:r>
            <w:rPr>
              <w:rFonts w:hint="eastAsia" w:ascii="Times New Roman" w:hAnsi="Times New Roman" w:eastAsia="黑体" w:cs="黑体"/>
              <w:bCs/>
              <w:sz w:val="24"/>
              <w:szCs w:val="24"/>
              <w:lang w:val="en-US" w:eastAsia="zh-CN"/>
            </w:rPr>
            <w:fldChar w:fldCharType="separate"/>
          </w:r>
          <w:r>
            <w:rPr>
              <w:rFonts w:hint="eastAsia" w:ascii="Times New Roman" w:hAnsi="Times New Roman" w:eastAsia="楷体_GB2312" w:cs="楷体_GB2312"/>
              <w:bCs/>
              <w:sz w:val="24"/>
              <w:szCs w:val="24"/>
              <w:lang w:val="en-US" w:eastAsia="zh-CN"/>
            </w:rPr>
            <w:t>（二）工作简况</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_Toc24899 \h </w:instrText>
          </w:r>
          <w:r>
            <w:rPr>
              <w:rFonts w:ascii="Times New Roman" w:hAnsi="Times New Roman"/>
              <w:sz w:val="24"/>
              <w:szCs w:val="24"/>
            </w:rPr>
            <w:fldChar w:fldCharType="separate"/>
          </w:r>
          <w:r>
            <w:rPr>
              <w:rFonts w:ascii="Times New Roman" w:hAnsi="Times New Roman"/>
              <w:sz w:val="24"/>
              <w:szCs w:val="24"/>
            </w:rPr>
            <w:t>9</w:t>
          </w:r>
          <w:r>
            <w:rPr>
              <w:rFonts w:ascii="Times New Roman" w:hAnsi="Times New Roman"/>
              <w:sz w:val="24"/>
              <w:szCs w:val="24"/>
            </w:rPr>
            <w:fldChar w:fldCharType="end"/>
          </w:r>
          <w:r>
            <w:rPr>
              <w:rFonts w:hint="eastAsia" w:ascii="Times New Roman" w:hAnsi="Times New Roman" w:eastAsia="黑体" w:cs="黑体"/>
              <w:bCs/>
              <w:sz w:val="24"/>
              <w:szCs w:val="24"/>
              <w:lang w:val="en-US" w:eastAsia="zh-CN"/>
            </w:rPr>
            <w:fldChar w:fldCharType="end"/>
          </w:r>
        </w:p>
        <w:p w14:paraId="6DD30A66">
          <w:pPr>
            <w:pStyle w:val="8"/>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ascii="Times New Roman" w:hAnsi="Times New Roman"/>
              <w:sz w:val="24"/>
              <w:szCs w:val="24"/>
            </w:rPr>
          </w:pPr>
          <w:r>
            <w:rPr>
              <w:rFonts w:hint="eastAsia" w:ascii="Times New Roman" w:hAnsi="Times New Roman" w:eastAsia="黑体" w:cs="黑体"/>
              <w:bCs/>
              <w:sz w:val="24"/>
              <w:szCs w:val="24"/>
              <w:lang w:val="en-US" w:eastAsia="zh-CN"/>
            </w:rPr>
            <w:fldChar w:fldCharType="begin"/>
          </w:r>
          <w:r>
            <w:rPr>
              <w:rFonts w:hint="eastAsia" w:ascii="Times New Roman" w:hAnsi="Times New Roman" w:eastAsia="黑体" w:cs="黑体"/>
              <w:bCs/>
              <w:sz w:val="24"/>
              <w:szCs w:val="24"/>
              <w:lang w:val="en-US" w:eastAsia="zh-CN"/>
            </w:rPr>
            <w:instrText xml:space="preserve"> HYPERLINK \l _Toc325 </w:instrText>
          </w:r>
          <w:r>
            <w:rPr>
              <w:rFonts w:hint="eastAsia" w:ascii="Times New Roman" w:hAnsi="Times New Roman" w:eastAsia="黑体" w:cs="黑体"/>
              <w:bCs/>
              <w:sz w:val="24"/>
              <w:szCs w:val="24"/>
              <w:lang w:val="en-US" w:eastAsia="zh-CN"/>
            </w:rPr>
            <w:fldChar w:fldCharType="separate"/>
          </w:r>
          <w:r>
            <w:rPr>
              <w:rFonts w:hint="eastAsia" w:ascii="Times New Roman" w:hAnsi="Times New Roman" w:eastAsia="黑体" w:cs="黑体"/>
              <w:bCs/>
              <w:kern w:val="2"/>
              <w:sz w:val="24"/>
              <w:szCs w:val="24"/>
              <w:lang w:val="en-US" w:eastAsia="zh-CN" w:bidi="ar-SA"/>
            </w:rPr>
            <w:t>四、</w:t>
          </w:r>
          <w:r>
            <w:rPr>
              <w:rFonts w:hint="eastAsia" w:ascii="Times New Roman" w:hAnsi="Times New Roman" w:eastAsia="黑体" w:cs="黑体"/>
              <w:bCs/>
              <w:sz w:val="24"/>
              <w:szCs w:val="24"/>
              <w:lang w:val="en-US" w:eastAsia="zh-CN"/>
            </w:rPr>
            <w:t>主要技术指标、参数、实验验证的论述</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_Toc325 \h </w:instrText>
          </w:r>
          <w:r>
            <w:rPr>
              <w:rFonts w:ascii="Times New Roman" w:hAnsi="Times New Roman"/>
              <w:sz w:val="24"/>
              <w:szCs w:val="24"/>
            </w:rPr>
            <w:fldChar w:fldCharType="separate"/>
          </w:r>
          <w:r>
            <w:rPr>
              <w:rFonts w:ascii="Times New Roman" w:hAnsi="Times New Roman"/>
              <w:sz w:val="24"/>
              <w:szCs w:val="24"/>
            </w:rPr>
            <w:t>11</w:t>
          </w:r>
          <w:r>
            <w:rPr>
              <w:rFonts w:ascii="Times New Roman" w:hAnsi="Times New Roman"/>
              <w:sz w:val="24"/>
              <w:szCs w:val="24"/>
            </w:rPr>
            <w:fldChar w:fldCharType="end"/>
          </w:r>
          <w:r>
            <w:rPr>
              <w:rFonts w:hint="eastAsia" w:ascii="Times New Roman" w:hAnsi="Times New Roman" w:eastAsia="黑体" w:cs="黑体"/>
              <w:bCs/>
              <w:sz w:val="24"/>
              <w:szCs w:val="24"/>
              <w:lang w:val="en-US" w:eastAsia="zh-CN"/>
            </w:rPr>
            <w:fldChar w:fldCharType="end"/>
          </w:r>
        </w:p>
        <w:p w14:paraId="55D18F83">
          <w:pPr>
            <w:pStyle w:val="9"/>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ascii="Times New Roman" w:hAnsi="Times New Roman"/>
              <w:sz w:val="24"/>
              <w:szCs w:val="24"/>
            </w:rPr>
          </w:pPr>
          <w:r>
            <w:rPr>
              <w:rFonts w:hint="eastAsia" w:ascii="Times New Roman" w:hAnsi="Times New Roman" w:eastAsia="黑体" w:cs="黑体"/>
              <w:bCs/>
              <w:sz w:val="24"/>
              <w:szCs w:val="24"/>
              <w:lang w:val="en-US" w:eastAsia="zh-CN"/>
            </w:rPr>
            <w:fldChar w:fldCharType="begin"/>
          </w:r>
          <w:r>
            <w:rPr>
              <w:rFonts w:hint="eastAsia" w:ascii="Times New Roman" w:hAnsi="Times New Roman" w:eastAsia="黑体" w:cs="黑体"/>
              <w:bCs/>
              <w:sz w:val="24"/>
              <w:szCs w:val="24"/>
              <w:lang w:val="en-US" w:eastAsia="zh-CN"/>
            </w:rPr>
            <w:instrText xml:space="preserve"> HYPERLINK \l _Toc10814 </w:instrText>
          </w:r>
          <w:r>
            <w:rPr>
              <w:rFonts w:hint="eastAsia" w:ascii="Times New Roman" w:hAnsi="Times New Roman" w:eastAsia="黑体" w:cs="黑体"/>
              <w:bCs/>
              <w:sz w:val="24"/>
              <w:szCs w:val="24"/>
              <w:lang w:val="en-US" w:eastAsia="zh-CN"/>
            </w:rPr>
            <w:fldChar w:fldCharType="separate"/>
          </w:r>
          <w:r>
            <w:rPr>
              <w:rFonts w:hint="eastAsia" w:ascii="Times New Roman" w:hAnsi="Times New Roman" w:eastAsia="楷体_GB2312" w:cs="楷体_GB2312"/>
              <w:bCs/>
              <w:sz w:val="24"/>
              <w:szCs w:val="24"/>
              <w:lang w:eastAsia="zh-CN"/>
            </w:rPr>
            <w:t>（</w:t>
          </w:r>
          <w:r>
            <w:rPr>
              <w:rFonts w:hint="eastAsia" w:ascii="Times New Roman" w:hAnsi="Times New Roman" w:eastAsia="楷体_GB2312" w:cs="楷体_GB2312"/>
              <w:bCs/>
              <w:sz w:val="24"/>
              <w:szCs w:val="24"/>
              <w:lang w:val="en-US" w:eastAsia="zh-CN"/>
            </w:rPr>
            <w:t>一）编制原则</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_Toc10814 \h </w:instrText>
          </w:r>
          <w:r>
            <w:rPr>
              <w:rFonts w:ascii="Times New Roman" w:hAnsi="Times New Roman"/>
              <w:sz w:val="24"/>
              <w:szCs w:val="24"/>
            </w:rPr>
            <w:fldChar w:fldCharType="separate"/>
          </w:r>
          <w:r>
            <w:rPr>
              <w:rFonts w:ascii="Times New Roman" w:hAnsi="Times New Roman"/>
              <w:sz w:val="24"/>
              <w:szCs w:val="24"/>
            </w:rPr>
            <w:t>11</w:t>
          </w:r>
          <w:r>
            <w:rPr>
              <w:rFonts w:ascii="Times New Roman" w:hAnsi="Times New Roman"/>
              <w:sz w:val="24"/>
              <w:szCs w:val="24"/>
            </w:rPr>
            <w:fldChar w:fldCharType="end"/>
          </w:r>
          <w:r>
            <w:rPr>
              <w:rFonts w:hint="eastAsia" w:ascii="Times New Roman" w:hAnsi="Times New Roman" w:eastAsia="黑体" w:cs="黑体"/>
              <w:bCs/>
              <w:sz w:val="24"/>
              <w:szCs w:val="24"/>
              <w:lang w:val="en-US" w:eastAsia="zh-CN"/>
            </w:rPr>
            <w:fldChar w:fldCharType="end"/>
          </w:r>
        </w:p>
        <w:p w14:paraId="523EDFBF">
          <w:pPr>
            <w:pStyle w:val="9"/>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ascii="Times New Roman" w:hAnsi="Times New Roman"/>
              <w:sz w:val="24"/>
              <w:szCs w:val="24"/>
            </w:rPr>
          </w:pPr>
          <w:r>
            <w:rPr>
              <w:rFonts w:hint="eastAsia" w:ascii="Times New Roman" w:hAnsi="Times New Roman" w:eastAsia="黑体" w:cs="黑体"/>
              <w:bCs/>
              <w:sz w:val="24"/>
              <w:szCs w:val="24"/>
              <w:lang w:val="en-US" w:eastAsia="zh-CN"/>
            </w:rPr>
            <w:fldChar w:fldCharType="begin"/>
          </w:r>
          <w:r>
            <w:rPr>
              <w:rFonts w:hint="eastAsia" w:ascii="Times New Roman" w:hAnsi="Times New Roman" w:eastAsia="黑体" w:cs="黑体"/>
              <w:bCs/>
              <w:sz w:val="24"/>
              <w:szCs w:val="24"/>
              <w:lang w:val="en-US" w:eastAsia="zh-CN"/>
            </w:rPr>
            <w:instrText xml:space="preserve"> HYPERLINK \l _Toc17866 </w:instrText>
          </w:r>
          <w:r>
            <w:rPr>
              <w:rFonts w:hint="eastAsia" w:ascii="Times New Roman" w:hAnsi="Times New Roman" w:eastAsia="黑体" w:cs="黑体"/>
              <w:bCs/>
              <w:sz w:val="24"/>
              <w:szCs w:val="24"/>
              <w:lang w:val="en-US" w:eastAsia="zh-CN"/>
            </w:rPr>
            <w:fldChar w:fldCharType="separate"/>
          </w:r>
          <w:r>
            <w:rPr>
              <w:rFonts w:hint="eastAsia" w:ascii="Times New Roman" w:hAnsi="Times New Roman" w:eastAsia="楷体_GB2312" w:cs="楷体_GB2312"/>
              <w:bCs/>
              <w:sz w:val="24"/>
              <w:szCs w:val="24"/>
              <w:lang w:eastAsia="zh-CN"/>
            </w:rPr>
            <w:t>（</w:t>
          </w:r>
          <w:r>
            <w:rPr>
              <w:rFonts w:hint="eastAsia" w:ascii="Times New Roman" w:hAnsi="Times New Roman" w:eastAsia="楷体_GB2312" w:cs="楷体_GB2312"/>
              <w:bCs/>
              <w:sz w:val="24"/>
              <w:szCs w:val="24"/>
              <w:lang w:val="en-US" w:eastAsia="zh-CN"/>
            </w:rPr>
            <w:t>二）标准主要内容及说明</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_Toc17866 \h </w:instrText>
          </w:r>
          <w:r>
            <w:rPr>
              <w:rFonts w:ascii="Times New Roman" w:hAnsi="Times New Roman"/>
              <w:sz w:val="24"/>
              <w:szCs w:val="24"/>
            </w:rPr>
            <w:fldChar w:fldCharType="separate"/>
          </w:r>
          <w:r>
            <w:rPr>
              <w:rFonts w:ascii="Times New Roman" w:hAnsi="Times New Roman"/>
              <w:sz w:val="24"/>
              <w:szCs w:val="24"/>
            </w:rPr>
            <w:t>13</w:t>
          </w:r>
          <w:r>
            <w:rPr>
              <w:rFonts w:ascii="Times New Roman" w:hAnsi="Times New Roman"/>
              <w:sz w:val="24"/>
              <w:szCs w:val="24"/>
            </w:rPr>
            <w:fldChar w:fldCharType="end"/>
          </w:r>
          <w:r>
            <w:rPr>
              <w:rFonts w:hint="eastAsia" w:ascii="Times New Roman" w:hAnsi="Times New Roman" w:eastAsia="黑体" w:cs="黑体"/>
              <w:bCs/>
              <w:sz w:val="24"/>
              <w:szCs w:val="24"/>
              <w:lang w:val="en-US" w:eastAsia="zh-CN"/>
            </w:rPr>
            <w:fldChar w:fldCharType="end"/>
          </w:r>
        </w:p>
        <w:p w14:paraId="0170F48E">
          <w:pPr>
            <w:pStyle w:val="9"/>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ascii="Times New Roman" w:hAnsi="Times New Roman"/>
              <w:sz w:val="24"/>
              <w:szCs w:val="24"/>
            </w:rPr>
          </w:pPr>
          <w:r>
            <w:rPr>
              <w:rFonts w:hint="eastAsia" w:ascii="Times New Roman" w:hAnsi="Times New Roman" w:eastAsia="黑体" w:cs="黑体"/>
              <w:bCs/>
              <w:sz w:val="24"/>
              <w:szCs w:val="24"/>
              <w:lang w:val="en-US" w:eastAsia="zh-CN"/>
            </w:rPr>
            <w:fldChar w:fldCharType="begin"/>
          </w:r>
          <w:r>
            <w:rPr>
              <w:rFonts w:hint="eastAsia" w:ascii="Times New Roman" w:hAnsi="Times New Roman" w:eastAsia="黑体" w:cs="黑体"/>
              <w:bCs/>
              <w:sz w:val="24"/>
              <w:szCs w:val="24"/>
              <w:lang w:val="en-US" w:eastAsia="zh-CN"/>
            </w:rPr>
            <w:instrText xml:space="preserve"> HYPERLINK \l _Toc23408 </w:instrText>
          </w:r>
          <w:r>
            <w:rPr>
              <w:rFonts w:hint="eastAsia" w:ascii="Times New Roman" w:hAnsi="Times New Roman" w:eastAsia="黑体" w:cs="黑体"/>
              <w:bCs/>
              <w:sz w:val="24"/>
              <w:szCs w:val="24"/>
              <w:lang w:val="en-US" w:eastAsia="zh-CN"/>
            </w:rPr>
            <w:fldChar w:fldCharType="separate"/>
          </w:r>
          <w:r>
            <w:rPr>
              <w:rFonts w:hint="eastAsia" w:ascii="Times New Roman" w:hAnsi="Times New Roman" w:eastAsia="楷体_GB2312" w:cs="楷体_GB2312"/>
              <w:bCs/>
              <w:sz w:val="24"/>
              <w:szCs w:val="24"/>
              <w:lang w:eastAsia="zh-CN"/>
            </w:rPr>
            <w:t>（</w:t>
          </w:r>
          <w:r>
            <w:rPr>
              <w:rFonts w:hint="eastAsia" w:ascii="Times New Roman" w:hAnsi="Times New Roman" w:eastAsia="楷体_GB2312" w:cs="楷体_GB2312"/>
              <w:bCs/>
              <w:sz w:val="24"/>
              <w:szCs w:val="24"/>
              <w:lang w:val="en-US" w:eastAsia="zh-CN"/>
            </w:rPr>
            <w:t>三）主要验证分析</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_Toc23408 \h </w:instrText>
          </w:r>
          <w:r>
            <w:rPr>
              <w:rFonts w:ascii="Times New Roman" w:hAnsi="Times New Roman"/>
              <w:sz w:val="24"/>
              <w:szCs w:val="24"/>
            </w:rPr>
            <w:fldChar w:fldCharType="separate"/>
          </w:r>
          <w:r>
            <w:rPr>
              <w:rFonts w:ascii="Times New Roman" w:hAnsi="Times New Roman"/>
              <w:sz w:val="24"/>
              <w:szCs w:val="24"/>
            </w:rPr>
            <w:t>27</w:t>
          </w:r>
          <w:r>
            <w:rPr>
              <w:rFonts w:ascii="Times New Roman" w:hAnsi="Times New Roman"/>
              <w:sz w:val="24"/>
              <w:szCs w:val="24"/>
            </w:rPr>
            <w:fldChar w:fldCharType="end"/>
          </w:r>
          <w:r>
            <w:rPr>
              <w:rFonts w:hint="eastAsia" w:ascii="Times New Roman" w:hAnsi="Times New Roman" w:eastAsia="黑体" w:cs="黑体"/>
              <w:bCs/>
              <w:sz w:val="24"/>
              <w:szCs w:val="24"/>
              <w:lang w:val="en-US" w:eastAsia="zh-CN"/>
            </w:rPr>
            <w:fldChar w:fldCharType="end"/>
          </w:r>
        </w:p>
        <w:p w14:paraId="597BF01F">
          <w:pPr>
            <w:pStyle w:val="8"/>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ascii="Times New Roman" w:hAnsi="Times New Roman"/>
              <w:sz w:val="24"/>
              <w:szCs w:val="24"/>
            </w:rPr>
          </w:pPr>
          <w:r>
            <w:rPr>
              <w:rFonts w:hint="eastAsia" w:ascii="Times New Roman" w:hAnsi="Times New Roman" w:eastAsia="黑体" w:cs="黑体"/>
              <w:bCs/>
              <w:sz w:val="24"/>
              <w:szCs w:val="24"/>
              <w:lang w:val="en-US" w:eastAsia="zh-CN"/>
            </w:rPr>
            <w:fldChar w:fldCharType="begin"/>
          </w:r>
          <w:r>
            <w:rPr>
              <w:rFonts w:hint="eastAsia" w:ascii="Times New Roman" w:hAnsi="Times New Roman" w:eastAsia="黑体" w:cs="黑体"/>
              <w:bCs/>
              <w:sz w:val="24"/>
              <w:szCs w:val="24"/>
              <w:lang w:val="en-US" w:eastAsia="zh-CN"/>
            </w:rPr>
            <w:instrText xml:space="preserve"> HYPERLINK \l _Toc7823 </w:instrText>
          </w:r>
          <w:r>
            <w:rPr>
              <w:rFonts w:hint="eastAsia" w:ascii="Times New Roman" w:hAnsi="Times New Roman" w:eastAsia="黑体" w:cs="黑体"/>
              <w:bCs/>
              <w:sz w:val="24"/>
              <w:szCs w:val="24"/>
              <w:lang w:val="en-US" w:eastAsia="zh-CN"/>
            </w:rPr>
            <w:fldChar w:fldCharType="separate"/>
          </w:r>
          <w:r>
            <w:rPr>
              <w:rFonts w:hint="eastAsia" w:ascii="Times New Roman" w:hAnsi="Times New Roman" w:eastAsia="黑体" w:cs="黑体"/>
              <w:bCs/>
              <w:kern w:val="2"/>
              <w:sz w:val="24"/>
              <w:szCs w:val="24"/>
              <w:lang w:val="en-US" w:eastAsia="zh-CN" w:bidi="ar-SA"/>
            </w:rPr>
            <w:t>五、</w:t>
          </w:r>
          <w:r>
            <w:rPr>
              <w:rFonts w:hint="eastAsia" w:ascii="Times New Roman" w:hAnsi="Times New Roman" w:eastAsia="黑体" w:cs="黑体"/>
              <w:bCs/>
              <w:sz w:val="24"/>
              <w:szCs w:val="24"/>
              <w:lang w:val="en-US" w:eastAsia="zh-CN"/>
            </w:rPr>
            <w:t>重大分歧意见的处理和依据</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_Toc7823 \h </w:instrText>
          </w:r>
          <w:r>
            <w:rPr>
              <w:rFonts w:ascii="Times New Roman" w:hAnsi="Times New Roman"/>
              <w:sz w:val="24"/>
              <w:szCs w:val="24"/>
            </w:rPr>
            <w:fldChar w:fldCharType="separate"/>
          </w:r>
          <w:r>
            <w:rPr>
              <w:rFonts w:ascii="Times New Roman" w:hAnsi="Times New Roman"/>
              <w:sz w:val="24"/>
              <w:szCs w:val="24"/>
            </w:rPr>
            <w:t>30</w:t>
          </w:r>
          <w:r>
            <w:rPr>
              <w:rFonts w:ascii="Times New Roman" w:hAnsi="Times New Roman"/>
              <w:sz w:val="24"/>
              <w:szCs w:val="24"/>
            </w:rPr>
            <w:fldChar w:fldCharType="end"/>
          </w:r>
          <w:r>
            <w:rPr>
              <w:rFonts w:hint="eastAsia" w:ascii="Times New Roman" w:hAnsi="Times New Roman" w:eastAsia="黑体" w:cs="黑体"/>
              <w:bCs/>
              <w:sz w:val="24"/>
              <w:szCs w:val="24"/>
              <w:lang w:val="en-US" w:eastAsia="zh-CN"/>
            </w:rPr>
            <w:fldChar w:fldCharType="end"/>
          </w:r>
        </w:p>
        <w:p w14:paraId="7D470E59">
          <w:pPr>
            <w:pStyle w:val="8"/>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ascii="Times New Roman" w:hAnsi="Times New Roman"/>
              <w:sz w:val="24"/>
              <w:szCs w:val="24"/>
            </w:rPr>
          </w:pPr>
          <w:r>
            <w:rPr>
              <w:rFonts w:hint="eastAsia" w:ascii="Times New Roman" w:hAnsi="Times New Roman" w:eastAsia="黑体" w:cs="黑体"/>
              <w:bCs/>
              <w:sz w:val="24"/>
              <w:szCs w:val="24"/>
              <w:lang w:val="en-US" w:eastAsia="zh-CN"/>
            </w:rPr>
            <w:fldChar w:fldCharType="begin"/>
          </w:r>
          <w:r>
            <w:rPr>
              <w:rFonts w:hint="eastAsia" w:ascii="Times New Roman" w:hAnsi="Times New Roman" w:eastAsia="黑体" w:cs="黑体"/>
              <w:bCs/>
              <w:sz w:val="24"/>
              <w:szCs w:val="24"/>
              <w:lang w:val="en-US" w:eastAsia="zh-CN"/>
            </w:rPr>
            <w:instrText xml:space="preserve"> HYPERLINK \l _Toc21040 </w:instrText>
          </w:r>
          <w:r>
            <w:rPr>
              <w:rFonts w:hint="eastAsia" w:ascii="Times New Roman" w:hAnsi="Times New Roman" w:eastAsia="黑体" w:cs="黑体"/>
              <w:bCs/>
              <w:sz w:val="24"/>
              <w:szCs w:val="24"/>
              <w:lang w:val="en-US" w:eastAsia="zh-CN"/>
            </w:rPr>
            <w:fldChar w:fldCharType="separate"/>
          </w:r>
          <w:r>
            <w:rPr>
              <w:rFonts w:hint="eastAsia" w:ascii="Times New Roman" w:hAnsi="Times New Roman" w:eastAsia="黑体" w:cs="黑体"/>
              <w:bCs/>
              <w:kern w:val="2"/>
              <w:sz w:val="24"/>
              <w:szCs w:val="24"/>
              <w:lang w:val="en-US" w:eastAsia="zh-CN" w:bidi="ar-SA"/>
            </w:rPr>
            <w:t>六、</w:t>
          </w:r>
          <w:r>
            <w:rPr>
              <w:rFonts w:hint="eastAsia" w:ascii="Times New Roman" w:hAnsi="Times New Roman" w:eastAsia="黑体" w:cs="黑体"/>
              <w:bCs/>
              <w:sz w:val="24"/>
              <w:szCs w:val="24"/>
              <w:lang w:val="en-US" w:eastAsia="zh-CN"/>
            </w:rPr>
            <w:t>与相关法律法规和标准的关系</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_Toc21040 \h </w:instrText>
          </w:r>
          <w:r>
            <w:rPr>
              <w:rFonts w:ascii="Times New Roman" w:hAnsi="Times New Roman"/>
              <w:sz w:val="24"/>
              <w:szCs w:val="24"/>
            </w:rPr>
            <w:fldChar w:fldCharType="separate"/>
          </w:r>
          <w:r>
            <w:rPr>
              <w:rFonts w:ascii="Times New Roman" w:hAnsi="Times New Roman"/>
              <w:sz w:val="24"/>
              <w:szCs w:val="24"/>
            </w:rPr>
            <w:t>30</w:t>
          </w:r>
          <w:r>
            <w:rPr>
              <w:rFonts w:ascii="Times New Roman" w:hAnsi="Times New Roman"/>
              <w:sz w:val="24"/>
              <w:szCs w:val="24"/>
            </w:rPr>
            <w:fldChar w:fldCharType="end"/>
          </w:r>
          <w:r>
            <w:rPr>
              <w:rFonts w:hint="eastAsia" w:ascii="Times New Roman" w:hAnsi="Times New Roman" w:eastAsia="黑体" w:cs="黑体"/>
              <w:bCs/>
              <w:sz w:val="24"/>
              <w:szCs w:val="24"/>
              <w:lang w:val="en-US" w:eastAsia="zh-CN"/>
            </w:rPr>
            <w:fldChar w:fldCharType="end"/>
          </w:r>
        </w:p>
        <w:p w14:paraId="358A78D6">
          <w:pPr>
            <w:pStyle w:val="9"/>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ascii="Times New Roman" w:hAnsi="Times New Roman"/>
              <w:sz w:val="24"/>
              <w:szCs w:val="24"/>
            </w:rPr>
          </w:pPr>
          <w:r>
            <w:rPr>
              <w:rFonts w:hint="eastAsia" w:ascii="Times New Roman" w:hAnsi="Times New Roman" w:eastAsia="黑体" w:cs="黑体"/>
              <w:bCs/>
              <w:sz w:val="24"/>
              <w:szCs w:val="24"/>
              <w:lang w:val="en-US" w:eastAsia="zh-CN"/>
            </w:rPr>
            <w:fldChar w:fldCharType="begin"/>
          </w:r>
          <w:r>
            <w:rPr>
              <w:rFonts w:hint="eastAsia" w:ascii="Times New Roman" w:hAnsi="Times New Roman" w:eastAsia="黑体" w:cs="黑体"/>
              <w:bCs/>
              <w:sz w:val="24"/>
              <w:szCs w:val="24"/>
              <w:lang w:val="en-US" w:eastAsia="zh-CN"/>
            </w:rPr>
            <w:instrText xml:space="preserve"> HYPERLINK \l _Toc25794 </w:instrText>
          </w:r>
          <w:r>
            <w:rPr>
              <w:rFonts w:hint="eastAsia" w:ascii="Times New Roman" w:hAnsi="Times New Roman" w:eastAsia="黑体" w:cs="黑体"/>
              <w:bCs/>
              <w:sz w:val="24"/>
              <w:szCs w:val="24"/>
              <w:lang w:val="en-US" w:eastAsia="zh-CN"/>
            </w:rPr>
            <w:fldChar w:fldCharType="separate"/>
          </w:r>
          <w:r>
            <w:rPr>
              <w:rFonts w:hint="eastAsia" w:ascii="Times New Roman" w:hAnsi="Times New Roman" w:eastAsia="楷体_GB2312" w:cs="楷体_GB2312"/>
              <w:bCs/>
              <w:sz w:val="24"/>
              <w:szCs w:val="24"/>
              <w:lang w:eastAsia="zh-CN"/>
            </w:rPr>
            <w:t>（</w:t>
          </w:r>
          <w:r>
            <w:rPr>
              <w:rFonts w:hint="eastAsia" w:ascii="Times New Roman" w:hAnsi="Times New Roman" w:eastAsia="楷体_GB2312" w:cs="楷体_GB2312"/>
              <w:bCs/>
              <w:sz w:val="24"/>
              <w:szCs w:val="24"/>
              <w:lang w:val="en-US" w:eastAsia="zh-CN"/>
            </w:rPr>
            <w:t>一）与有关法律、法规的关系</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_Toc25794 \h </w:instrText>
          </w:r>
          <w:r>
            <w:rPr>
              <w:rFonts w:ascii="Times New Roman" w:hAnsi="Times New Roman"/>
              <w:sz w:val="24"/>
              <w:szCs w:val="24"/>
            </w:rPr>
            <w:fldChar w:fldCharType="separate"/>
          </w:r>
          <w:r>
            <w:rPr>
              <w:rFonts w:ascii="Times New Roman" w:hAnsi="Times New Roman"/>
              <w:sz w:val="24"/>
              <w:szCs w:val="24"/>
            </w:rPr>
            <w:t>30</w:t>
          </w:r>
          <w:r>
            <w:rPr>
              <w:rFonts w:ascii="Times New Roman" w:hAnsi="Times New Roman"/>
              <w:sz w:val="24"/>
              <w:szCs w:val="24"/>
            </w:rPr>
            <w:fldChar w:fldCharType="end"/>
          </w:r>
          <w:r>
            <w:rPr>
              <w:rFonts w:hint="eastAsia" w:ascii="Times New Roman" w:hAnsi="Times New Roman" w:eastAsia="黑体" w:cs="黑体"/>
              <w:bCs/>
              <w:sz w:val="24"/>
              <w:szCs w:val="24"/>
              <w:lang w:val="en-US" w:eastAsia="zh-CN"/>
            </w:rPr>
            <w:fldChar w:fldCharType="end"/>
          </w:r>
        </w:p>
        <w:p w14:paraId="59353D53">
          <w:pPr>
            <w:pStyle w:val="9"/>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ascii="Times New Roman" w:hAnsi="Times New Roman"/>
              <w:sz w:val="24"/>
              <w:szCs w:val="24"/>
            </w:rPr>
          </w:pPr>
          <w:r>
            <w:rPr>
              <w:rFonts w:hint="eastAsia" w:ascii="Times New Roman" w:hAnsi="Times New Roman" w:eastAsia="黑体" w:cs="黑体"/>
              <w:bCs/>
              <w:sz w:val="24"/>
              <w:szCs w:val="24"/>
              <w:lang w:val="en-US" w:eastAsia="zh-CN"/>
            </w:rPr>
            <w:fldChar w:fldCharType="begin"/>
          </w:r>
          <w:r>
            <w:rPr>
              <w:rFonts w:hint="eastAsia" w:ascii="Times New Roman" w:hAnsi="Times New Roman" w:eastAsia="黑体" w:cs="黑体"/>
              <w:bCs/>
              <w:sz w:val="24"/>
              <w:szCs w:val="24"/>
              <w:lang w:val="en-US" w:eastAsia="zh-CN"/>
            </w:rPr>
            <w:instrText xml:space="preserve"> HYPERLINK \l _Toc30558 </w:instrText>
          </w:r>
          <w:r>
            <w:rPr>
              <w:rFonts w:hint="eastAsia" w:ascii="Times New Roman" w:hAnsi="Times New Roman" w:eastAsia="黑体" w:cs="黑体"/>
              <w:bCs/>
              <w:sz w:val="24"/>
              <w:szCs w:val="24"/>
              <w:lang w:val="en-US" w:eastAsia="zh-CN"/>
            </w:rPr>
            <w:fldChar w:fldCharType="separate"/>
          </w:r>
          <w:r>
            <w:rPr>
              <w:rFonts w:hint="eastAsia" w:ascii="Times New Roman" w:hAnsi="Times New Roman" w:eastAsia="楷体_GB2312" w:cs="楷体_GB2312"/>
              <w:bCs/>
              <w:sz w:val="24"/>
              <w:szCs w:val="24"/>
              <w:lang w:val="en-US" w:eastAsia="zh-CN"/>
            </w:rPr>
            <w:t>（二）与相关国家标准、行业标准、地方标准的重复性、协调性分析</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_Toc30558 \h </w:instrText>
          </w:r>
          <w:r>
            <w:rPr>
              <w:rFonts w:ascii="Times New Roman" w:hAnsi="Times New Roman"/>
              <w:sz w:val="24"/>
              <w:szCs w:val="24"/>
            </w:rPr>
            <w:fldChar w:fldCharType="separate"/>
          </w:r>
          <w:r>
            <w:rPr>
              <w:rFonts w:ascii="Times New Roman" w:hAnsi="Times New Roman"/>
              <w:sz w:val="24"/>
              <w:szCs w:val="24"/>
            </w:rPr>
            <w:t>31</w:t>
          </w:r>
          <w:r>
            <w:rPr>
              <w:rFonts w:ascii="Times New Roman" w:hAnsi="Times New Roman"/>
              <w:sz w:val="24"/>
              <w:szCs w:val="24"/>
            </w:rPr>
            <w:fldChar w:fldCharType="end"/>
          </w:r>
          <w:r>
            <w:rPr>
              <w:rFonts w:hint="eastAsia" w:ascii="Times New Roman" w:hAnsi="Times New Roman" w:eastAsia="黑体" w:cs="黑体"/>
              <w:bCs/>
              <w:sz w:val="24"/>
              <w:szCs w:val="24"/>
              <w:lang w:val="en-US" w:eastAsia="zh-CN"/>
            </w:rPr>
            <w:fldChar w:fldCharType="end"/>
          </w:r>
        </w:p>
        <w:p w14:paraId="3C421460">
          <w:pPr>
            <w:pStyle w:val="8"/>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ascii="Times New Roman" w:hAnsi="Times New Roman"/>
              <w:sz w:val="24"/>
              <w:szCs w:val="24"/>
            </w:rPr>
          </w:pPr>
          <w:r>
            <w:rPr>
              <w:rFonts w:hint="eastAsia" w:ascii="Times New Roman" w:hAnsi="Times New Roman" w:eastAsia="黑体" w:cs="黑体"/>
              <w:bCs/>
              <w:sz w:val="24"/>
              <w:szCs w:val="24"/>
              <w:lang w:val="en-US" w:eastAsia="zh-CN"/>
            </w:rPr>
            <w:fldChar w:fldCharType="begin"/>
          </w:r>
          <w:r>
            <w:rPr>
              <w:rFonts w:hint="eastAsia" w:ascii="Times New Roman" w:hAnsi="Times New Roman" w:eastAsia="黑体" w:cs="黑体"/>
              <w:bCs/>
              <w:sz w:val="24"/>
              <w:szCs w:val="24"/>
              <w:lang w:val="en-US" w:eastAsia="zh-CN"/>
            </w:rPr>
            <w:instrText xml:space="preserve"> HYPERLINK \l _Toc10373 </w:instrText>
          </w:r>
          <w:r>
            <w:rPr>
              <w:rFonts w:hint="eastAsia" w:ascii="Times New Roman" w:hAnsi="Times New Roman" w:eastAsia="黑体" w:cs="黑体"/>
              <w:bCs/>
              <w:sz w:val="24"/>
              <w:szCs w:val="24"/>
              <w:lang w:val="en-US" w:eastAsia="zh-CN"/>
            </w:rPr>
            <w:fldChar w:fldCharType="separate"/>
          </w:r>
          <w:r>
            <w:rPr>
              <w:rFonts w:hint="eastAsia" w:ascii="Times New Roman" w:hAnsi="Times New Roman" w:eastAsia="黑体" w:cs="黑体"/>
              <w:bCs/>
              <w:kern w:val="2"/>
              <w:sz w:val="24"/>
              <w:szCs w:val="24"/>
              <w:lang w:val="en-US" w:eastAsia="zh-CN" w:bidi="ar-SA"/>
            </w:rPr>
            <w:t>七、</w:t>
          </w:r>
          <w:r>
            <w:rPr>
              <w:rFonts w:hint="eastAsia" w:ascii="Times New Roman" w:hAnsi="Times New Roman" w:eastAsia="黑体" w:cs="黑体"/>
              <w:bCs/>
              <w:sz w:val="24"/>
              <w:szCs w:val="24"/>
              <w:lang w:val="en-US" w:eastAsia="zh-CN"/>
            </w:rPr>
            <w:t>推广实施建议</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_Toc10373 \h </w:instrText>
          </w:r>
          <w:r>
            <w:rPr>
              <w:rFonts w:ascii="Times New Roman" w:hAnsi="Times New Roman"/>
              <w:sz w:val="24"/>
              <w:szCs w:val="24"/>
            </w:rPr>
            <w:fldChar w:fldCharType="separate"/>
          </w:r>
          <w:r>
            <w:rPr>
              <w:rFonts w:ascii="Times New Roman" w:hAnsi="Times New Roman"/>
              <w:sz w:val="24"/>
              <w:szCs w:val="24"/>
            </w:rPr>
            <w:t>32</w:t>
          </w:r>
          <w:r>
            <w:rPr>
              <w:rFonts w:ascii="Times New Roman" w:hAnsi="Times New Roman"/>
              <w:sz w:val="24"/>
              <w:szCs w:val="24"/>
            </w:rPr>
            <w:fldChar w:fldCharType="end"/>
          </w:r>
          <w:r>
            <w:rPr>
              <w:rFonts w:hint="eastAsia" w:ascii="Times New Roman" w:hAnsi="Times New Roman" w:eastAsia="黑体" w:cs="黑体"/>
              <w:bCs/>
              <w:sz w:val="24"/>
              <w:szCs w:val="24"/>
              <w:lang w:val="en-US" w:eastAsia="zh-CN"/>
            </w:rPr>
            <w:fldChar w:fldCharType="end"/>
          </w:r>
        </w:p>
        <w:p w14:paraId="232C9657">
          <w:pPr>
            <w:pStyle w:val="8"/>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pPr>
          <w:r>
            <w:rPr>
              <w:rFonts w:hint="eastAsia" w:ascii="Times New Roman" w:hAnsi="Times New Roman" w:eastAsia="黑体" w:cs="黑体"/>
              <w:bCs/>
              <w:sz w:val="24"/>
              <w:szCs w:val="24"/>
              <w:lang w:val="en-US" w:eastAsia="zh-CN"/>
            </w:rPr>
            <w:fldChar w:fldCharType="begin"/>
          </w:r>
          <w:r>
            <w:rPr>
              <w:rFonts w:hint="eastAsia" w:ascii="Times New Roman" w:hAnsi="Times New Roman" w:eastAsia="黑体" w:cs="黑体"/>
              <w:bCs/>
              <w:sz w:val="24"/>
              <w:szCs w:val="24"/>
              <w:lang w:val="en-US" w:eastAsia="zh-CN"/>
            </w:rPr>
            <w:instrText xml:space="preserve"> HYPERLINK \l _Toc16972 </w:instrText>
          </w:r>
          <w:r>
            <w:rPr>
              <w:rFonts w:hint="eastAsia" w:ascii="Times New Roman" w:hAnsi="Times New Roman" w:eastAsia="黑体" w:cs="黑体"/>
              <w:bCs/>
              <w:sz w:val="24"/>
              <w:szCs w:val="24"/>
              <w:lang w:val="en-US" w:eastAsia="zh-CN"/>
            </w:rPr>
            <w:fldChar w:fldCharType="separate"/>
          </w:r>
          <w:r>
            <w:rPr>
              <w:rFonts w:hint="eastAsia" w:ascii="Times New Roman" w:hAnsi="Times New Roman" w:eastAsia="黑体" w:cs="黑体"/>
              <w:bCs/>
              <w:sz w:val="24"/>
              <w:szCs w:val="24"/>
              <w:lang w:val="en-US" w:eastAsia="zh-CN"/>
            </w:rPr>
            <w:t>八、起草单位和起草人员信息及分工</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_Toc16972 \h </w:instrText>
          </w:r>
          <w:r>
            <w:rPr>
              <w:rFonts w:ascii="Times New Roman" w:hAnsi="Times New Roman"/>
              <w:sz w:val="24"/>
              <w:szCs w:val="24"/>
            </w:rPr>
            <w:fldChar w:fldCharType="separate"/>
          </w:r>
          <w:r>
            <w:rPr>
              <w:rFonts w:ascii="Times New Roman" w:hAnsi="Times New Roman"/>
              <w:sz w:val="24"/>
              <w:szCs w:val="24"/>
            </w:rPr>
            <w:t>33</w:t>
          </w:r>
          <w:r>
            <w:rPr>
              <w:rFonts w:ascii="Times New Roman" w:hAnsi="Times New Roman"/>
              <w:sz w:val="24"/>
              <w:szCs w:val="24"/>
            </w:rPr>
            <w:fldChar w:fldCharType="end"/>
          </w:r>
          <w:r>
            <w:rPr>
              <w:rFonts w:hint="eastAsia" w:ascii="Times New Roman" w:hAnsi="Times New Roman" w:eastAsia="黑体" w:cs="黑体"/>
              <w:bCs/>
              <w:sz w:val="24"/>
              <w:szCs w:val="24"/>
              <w:lang w:val="en-US" w:eastAsia="zh-CN"/>
            </w:rPr>
            <w:fldChar w:fldCharType="end"/>
          </w:r>
        </w:p>
        <w:p w14:paraId="54111CBB">
          <w:pPr>
            <w:pStyle w:val="16"/>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outlineLvl w:val="0"/>
            <w:rPr>
              <w:rFonts w:hint="eastAsia" w:ascii="黑体" w:hAnsi="黑体" w:eastAsia="黑体" w:cs="黑体"/>
              <w:bCs/>
              <w:kern w:val="2"/>
              <w:sz w:val="28"/>
              <w:szCs w:val="28"/>
              <w:lang w:val="en-US" w:eastAsia="zh-CN" w:bidi="ar-SA"/>
            </w:rPr>
          </w:pPr>
          <w:r>
            <w:rPr>
              <w:rFonts w:hint="eastAsia" w:ascii="Times New Roman" w:hAnsi="Times New Roman" w:eastAsia="黑体" w:cs="黑体"/>
              <w:bCs/>
              <w:szCs w:val="28"/>
              <w:lang w:val="en-US" w:eastAsia="zh-CN"/>
            </w:rPr>
            <w:fldChar w:fldCharType="end"/>
          </w:r>
        </w:p>
      </w:sdtContent>
    </w:sdt>
    <w:p w14:paraId="1841CC6E">
      <w:pPr>
        <w:pStyle w:val="16"/>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outlineLvl w:val="0"/>
        <w:rPr>
          <w:rFonts w:hint="eastAsia" w:ascii="黑体" w:hAnsi="黑体" w:eastAsia="黑体" w:cs="黑体"/>
          <w:bCs/>
          <w:kern w:val="2"/>
          <w:sz w:val="21"/>
          <w:szCs w:val="32"/>
          <w:lang w:val="en-US" w:eastAsia="zh-CN" w:bidi="ar-SA"/>
        </w:rPr>
      </w:pPr>
    </w:p>
    <w:p w14:paraId="27343729">
      <w:pPr>
        <w:pStyle w:val="16"/>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outlineLvl w:val="0"/>
        <w:rPr>
          <w:rFonts w:hint="eastAsia" w:ascii="黑体" w:hAnsi="黑体" w:eastAsia="黑体" w:cs="黑体"/>
          <w:b/>
          <w:bCs/>
          <w:sz w:val="32"/>
          <w:szCs w:val="32"/>
          <w:lang w:val="en-US" w:eastAsia="zh-CN"/>
        </w:rPr>
        <w:sectPr>
          <w:footerReference r:id="rId4" w:type="default"/>
          <w:pgSz w:w="11906" w:h="16838"/>
          <w:pgMar w:top="1440" w:right="1800" w:bottom="1440" w:left="1800" w:header="851" w:footer="992" w:gutter="0"/>
          <w:pgNumType w:fmt="decimal"/>
          <w:cols w:space="425" w:num="1"/>
          <w:docGrid w:type="lines" w:linePitch="312" w:charSpace="0"/>
        </w:sectPr>
      </w:pPr>
      <w:bookmarkStart w:id="17" w:name="_GoBack"/>
      <w:bookmarkEnd w:id="17"/>
    </w:p>
    <w:p w14:paraId="637484ED">
      <w:pPr>
        <w:pStyle w:val="16"/>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left"/>
        <w:textAlignment w:val="auto"/>
        <w:outlineLvl w:val="0"/>
        <w:rPr>
          <w:rFonts w:hint="eastAsia" w:ascii="黑体" w:hAnsi="黑体" w:eastAsia="黑体" w:cs="黑体"/>
          <w:b/>
          <w:bCs/>
          <w:sz w:val="32"/>
          <w:szCs w:val="32"/>
          <w:lang w:val="en-US" w:eastAsia="zh-CN"/>
        </w:rPr>
      </w:pPr>
      <w:bookmarkStart w:id="0" w:name="_Toc8004"/>
      <w:r>
        <w:rPr>
          <w:rFonts w:hint="eastAsia" w:ascii="黑体" w:hAnsi="黑体" w:eastAsia="黑体" w:cs="黑体"/>
          <w:b/>
          <w:bCs/>
          <w:kern w:val="2"/>
          <w:sz w:val="32"/>
          <w:szCs w:val="32"/>
          <w:lang w:val="en-US" w:eastAsia="zh-CN" w:bidi="ar-SA"/>
        </w:rPr>
        <w:t>一、</w:t>
      </w:r>
      <w:r>
        <w:rPr>
          <w:rFonts w:hint="eastAsia" w:ascii="黑体" w:hAnsi="黑体" w:eastAsia="黑体" w:cs="黑体"/>
          <w:b/>
          <w:bCs/>
          <w:sz w:val="32"/>
          <w:szCs w:val="32"/>
          <w:lang w:val="en-US" w:eastAsia="zh-CN"/>
        </w:rPr>
        <w:t>目的意义</w:t>
      </w:r>
      <w:bookmarkEnd w:id="0"/>
    </w:p>
    <w:p w14:paraId="260BDB5B">
      <w:pPr>
        <w:pStyle w:val="16"/>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outlineLvl w:val="1"/>
        <w:rPr>
          <w:rFonts w:hint="default" w:ascii="楷体_GB2312" w:hAnsi="楷体_GB2312" w:eastAsia="楷体_GB2312" w:cs="楷体_GB2312"/>
          <w:b/>
          <w:bCs/>
          <w:sz w:val="32"/>
          <w:szCs w:val="32"/>
          <w:lang w:val="en-US" w:eastAsia="zh-CN"/>
        </w:rPr>
      </w:pPr>
      <w:bookmarkStart w:id="1" w:name="_Toc13126"/>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一）编制背景</w:t>
      </w:r>
      <w:bookmarkEnd w:id="1"/>
    </w:p>
    <w:p w14:paraId="231CCA17">
      <w:pPr>
        <w:pStyle w:val="16"/>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643" w:firstLineChars="200"/>
        <w:jc w:val="left"/>
        <w:textAlignment w:val="auto"/>
        <w:outlineLvl w:val="2"/>
        <w:rPr>
          <w:rFonts w:hint="eastAsia" w:ascii="Times New Roman" w:hAnsi="Times New Roman" w:eastAsia="仿宋_GB2312" w:cstheme="minorBidi"/>
          <w:b/>
          <w:bCs/>
          <w:kern w:val="2"/>
          <w:sz w:val="32"/>
          <w:szCs w:val="32"/>
          <w:lang w:val="en-US" w:eastAsia="zh-CN" w:bidi="ar-SA"/>
        </w:rPr>
      </w:pPr>
      <w:r>
        <w:rPr>
          <w:rFonts w:hint="eastAsia" w:ascii="Times New Roman" w:hAnsi="Times New Roman" w:eastAsia="仿宋_GB2312" w:cstheme="minorBidi"/>
          <w:b/>
          <w:bCs/>
          <w:kern w:val="2"/>
          <w:sz w:val="32"/>
          <w:szCs w:val="32"/>
          <w:lang w:val="en-US" w:eastAsia="zh-CN" w:bidi="ar-SA"/>
        </w:rPr>
        <w:t>1. 产业现状和存在问题</w:t>
      </w:r>
    </w:p>
    <w:p w14:paraId="0CC2A3CA">
      <w:pPr>
        <w:pStyle w:val="16"/>
        <w:keepNext w:val="0"/>
        <w:keepLines w:val="0"/>
        <w:pageBreakBefore w:val="0"/>
        <w:widowControl w:val="0"/>
        <w:kinsoku/>
        <w:wordWrap/>
        <w:overflowPunct/>
        <w:topLinePunct w:val="0"/>
        <w:autoSpaceDE/>
        <w:autoSpaceDN/>
        <w:bidi w:val="0"/>
        <w:adjustRightInd/>
        <w:snapToGrid/>
        <w:spacing w:line="360" w:lineRule="auto"/>
        <w:ind w:left="0" w:leftChars="0"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截至2023年底，长三角地区运营高速公路里程已达17000公里。为推进区域一体化发展，缓解大别山区、皖南山区、苏北山区、浙南山区等相对落后地区的发展困境，山区高速公路建设将成为下一阶段长三角交通运输发展的重要方向。</w:t>
      </w:r>
    </w:p>
    <w:p w14:paraId="79E21A2B">
      <w:pPr>
        <w:pStyle w:val="16"/>
        <w:keepNext w:val="0"/>
        <w:keepLines w:val="0"/>
        <w:pageBreakBefore w:val="0"/>
        <w:widowControl w:val="0"/>
        <w:kinsoku/>
        <w:wordWrap/>
        <w:overflowPunct/>
        <w:topLinePunct w:val="0"/>
        <w:autoSpaceDE/>
        <w:autoSpaceDN/>
        <w:bidi w:val="0"/>
        <w:adjustRightInd/>
        <w:snapToGrid/>
        <w:spacing w:line="360" w:lineRule="auto"/>
        <w:ind w:left="0" w:leftChars="0"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山区地形起伏大，公路建设中难以避免大量高边坡工程（岩质边坡开挖高度大于30m，土质边坡开挖高度大于20m）。以在建项目为例：G0321德州至上饶高速公路祁门至皖赣界段（全长31公里）涉及路堑高边坡工程14处；宣城至东至高速公路泾县至青阳界段（全长39公里）涉及路堑高边坡工程11处；G4222和襄高速公路六安段（全长70公里）沿线共有21处高边坡，平均约2-4公里即有一处。</w:t>
      </w:r>
    </w:p>
    <w:p w14:paraId="4BAA7C7E">
      <w:pPr>
        <w:pStyle w:val="16"/>
        <w:keepNext w:val="0"/>
        <w:keepLines w:val="0"/>
        <w:pageBreakBefore w:val="0"/>
        <w:widowControl w:val="0"/>
        <w:kinsoku/>
        <w:wordWrap/>
        <w:overflowPunct/>
        <w:topLinePunct w:val="0"/>
        <w:autoSpaceDE/>
        <w:autoSpaceDN/>
        <w:bidi w:val="0"/>
        <w:adjustRightInd/>
        <w:snapToGrid/>
        <w:spacing w:line="360" w:lineRule="auto"/>
        <w:ind w:left="0" w:leftChars="0"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与一般高边坡相比，山区路堑高边坡地质条件更为复杂，带来的安全隐患不仅增加了建设、运营单位的监测负担，也对公众安全构成潜在威胁。许杰等人在2015—2020年间对长三角山区9条运营高速公路进行了调查，结果显示，6年间共发生路堑边坡病害43处，病害类型包括滑塌、崩塌及支护结构损坏等。为保障山区高速公路安全，管理单位需投入大量监测工作。现状调查表明，现有边坡监测以人工方式为主，主要包括人工巡查和人工测量；部分边坡虽采用自动化监测，但多为传感器自动测量。总体来看，边坡监测的自动化和信息化水平偏低，仍需消耗大量人力资源。</w:t>
      </w:r>
    </w:p>
    <w:p w14:paraId="763E0D55">
      <w:pPr>
        <w:pStyle w:val="16"/>
        <w:keepNext w:val="0"/>
        <w:keepLines w:val="0"/>
        <w:pageBreakBefore w:val="0"/>
        <w:widowControl w:val="0"/>
        <w:kinsoku/>
        <w:wordWrap/>
        <w:overflowPunct/>
        <w:topLinePunct w:val="0"/>
        <w:autoSpaceDE/>
        <w:autoSpaceDN/>
        <w:bidi w:val="0"/>
        <w:adjustRightInd/>
        <w:snapToGrid/>
        <w:spacing w:line="360" w:lineRule="auto"/>
        <w:ind w:left="0" w:leftChars="0"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从当前发展状况可看出：</w:t>
      </w:r>
    </w:p>
    <w:p w14:paraId="1FF2F510">
      <w:pPr>
        <w:pStyle w:val="16"/>
        <w:keepNext w:val="0"/>
        <w:keepLines w:val="0"/>
        <w:pageBreakBefore w:val="0"/>
        <w:widowControl w:val="0"/>
        <w:numPr>
          <w:ilvl w:val="0"/>
          <w:numId w:val="1"/>
        </w:numPr>
        <w:kinsoku/>
        <w:wordWrap/>
        <w:overflowPunct/>
        <w:topLinePunct w:val="0"/>
        <w:autoSpaceDE/>
        <w:autoSpaceDN/>
        <w:bidi w:val="0"/>
        <w:adjustRightInd/>
        <w:snapToGrid/>
        <w:spacing w:line="360" w:lineRule="auto"/>
        <w:ind w:left="170" w:leftChars="0" w:hanging="170" w:firstLineChars="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边坡自动化监测相关标准远滞后于工程实践；</w:t>
      </w:r>
    </w:p>
    <w:p w14:paraId="4F0B8D60">
      <w:pPr>
        <w:pStyle w:val="16"/>
        <w:keepNext w:val="0"/>
        <w:keepLines w:val="0"/>
        <w:pageBreakBefore w:val="0"/>
        <w:widowControl w:val="0"/>
        <w:numPr>
          <w:ilvl w:val="0"/>
          <w:numId w:val="1"/>
        </w:numPr>
        <w:kinsoku/>
        <w:wordWrap/>
        <w:overflowPunct/>
        <w:topLinePunct w:val="0"/>
        <w:autoSpaceDE/>
        <w:autoSpaceDN/>
        <w:bidi w:val="0"/>
        <w:adjustRightInd/>
        <w:snapToGrid/>
        <w:spacing w:line="360" w:lineRule="auto"/>
        <w:ind w:left="170" w:leftChars="0" w:hanging="170" w:firstLineChars="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目前尚无针对长三角区域特点的边坡自动化监测预警实施标准。</w:t>
      </w:r>
    </w:p>
    <w:p w14:paraId="1C69EC14">
      <w:pPr>
        <w:pStyle w:val="16"/>
        <w:keepNext w:val="0"/>
        <w:keepLines w:val="0"/>
        <w:pageBreakBefore w:val="0"/>
        <w:widowControl w:val="0"/>
        <w:kinsoku/>
        <w:wordWrap/>
        <w:overflowPunct/>
        <w:topLinePunct w:val="0"/>
        <w:autoSpaceDE/>
        <w:autoSpaceDN/>
        <w:bidi w:val="0"/>
        <w:adjustRightInd/>
        <w:snapToGrid/>
        <w:spacing w:line="360" w:lineRule="auto"/>
        <w:ind w:left="0" w:leftChars="0"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因此，面对日益增长的市场需求，亟须制定相应标准。</w:t>
      </w:r>
    </w:p>
    <w:p w14:paraId="1E0964E4">
      <w:pPr>
        <w:pStyle w:val="16"/>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643" w:firstLineChars="200"/>
        <w:jc w:val="left"/>
        <w:textAlignment w:val="auto"/>
        <w:outlineLvl w:val="2"/>
        <w:rPr>
          <w:rFonts w:hint="eastAsia" w:ascii="Times New Roman" w:hAnsi="Times New Roman" w:eastAsia="仿宋_GB2312" w:cstheme="minorBidi"/>
          <w:b/>
          <w:bCs/>
          <w:kern w:val="2"/>
          <w:sz w:val="32"/>
          <w:szCs w:val="32"/>
          <w:lang w:val="en-US" w:eastAsia="zh-CN" w:bidi="ar-SA"/>
        </w:rPr>
      </w:pPr>
      <w:r>
        <w:rPr>
          <w:rFonts w:hint="eastAsia" w:ascii="Times New Roman" w:hAnsi="Times New Roman" w:eastAsia="仿宋_GB2312" w:cstheme="minorBidi"/>
          <w:b/>
          <w:bCs/>
          <w:kern w:val="2"/>
          <w:sz w:val="32"/>
          <w:szCs w:val="32"/>
          <w:lang w:val="en-US" w:eastAsia="zh-CN" w:bidi="ar-SA"/>
        </w:rPr>
        <w:t>2. 国内政策导向</w:t>
      </w:r>
    </w:p>
    <w:p w14:paraId="514748A0">
      <w:pPr>
        <w:pStyle w:val="16"/>
        <w:keepNext w:val="0"/>
        <w:keepLines w:val="0"/>
        <w:pageBreakBefore w:val="0"/>
        <w:widowControl w:val="0"/>
        <w:kinsoku/>
        <w:wordWrap/>
        <w:overflowPunct/>
        <w:topLinePunct w:val="0"/>
        <w:autoSpaceDE/>
        <w:autoSpaceDN/>
        <w:bidi w:val="0"/>
        <w:adjustRightInd/>
        <w:snapToGrid/>
        <w:spacing w:line="360" w:lineRule="auto"/>
        <w:ind w:left="0" w:leftChars="0"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自“平安交通”理念提出以来，公路安全问题日益受到重视。2019年7月28日，交通运输部印发《数字交通发展规划纲要》，提出“针对重大交通基础设施工程，实现基础设施全生命周期健康性能监测”。同年，中共中央、国务院印发《交通强国建设纲要》，强调“强化交通基础设施养护，加强基础设施运行监测检测，提高养护专业化、信息化水平，增强设施耐久性和可靠性”。2024年6月26日，为应对极端恶劣天气下高速公路灾害易发问题，交通运输部发布《关于进一步提升公路防灾抗灾能力的指导意见》，明确提出到2030年底，高风险高速公路边坡专业监测布局基本完成，监测预警能力现代化基本实现。</w:t>
      </w:r>
    </w:p>
    <w:p w14:paraId="69DED9F7">
      <w:pPr>
        <w:pStyle w:val="16"/>
        <w:keepNext w:val="0"/>
        <w:keepLines w:val="0"/>
        <w:pageBreakBefore w:val="0"/>
        <w:widowControl w:val="0"/>
        <w:kinsoku/>
        <w:wordWrap/>
        <w:overflowPunct/>
        <w:topLinePunct w:val="0"/>
        <w:autoSpaceDE/>
        <w:autoSpaceDN/>
        <w:bidi w:val="0"/>
        <w:adjustRightInd/>
        <w:snapToGrid/>
        <w:spacing w:line="360" w:lineRule="auto"/>
        <w:ind w:left="0" w:leftChars="0"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与此同时，“智慧交通”理念推动公路智慧赋能需求日益迫切。各地陆续开展智慧公路试点建设。2018年2月27日，《交通运输部办公厅关于加快推进新一代国家交通控制网和智慧公路试点的通知》指出，应“选取桥梁、隧道、边坡等，建立基础设施智能检测传感网，实现交通基础设施安全状态综合感知、分析及预警”。2023年9月20日，《交通运输部关于推进公路数字化转型加快智慧公路建设发展的意见》要求，完善公路基础设施安全监测预警体系，加强自然灾害综合风险公路承灾体数据库动态更新，提升地质灾害易发路段安全预警保障能力。</w:t>
      </w:r>
    </w:p>
    <w:p w14:paraId="1273EC7E">
      <w:pPr>
        <w:pStyle w:val="16"/>
        <w:keepNext w:val="0"/>
        <w:keepLines w:val="0"/>
        <w:pageBreakBefore w:val="0"/>
        <w:widowControl w:val="0"/>
        <w:kinsoku/>
        <w:wordWrap/>
        <w:overflowPunct/>
        <w:topLinePunct w:val="0"/>
        <w:autoSpaceDE/>
        <w:autoSpaceDN/>
        <w:bidi w:val="0"/>
        <w:adjustRightInd/>
        <w:snapToGrid/>
        <w:spacing w:line="360" w:lineRule="auto"/>
        <w:ind w:left="0" w:leftChars="0"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综上，国家政策明确要求通过信息化技术手段，赋能高边坡监测感知，助力“平安交通”与“智慧交通”建设。</w:t>
      </w:r>
    </w:p>
    <w:p w14:paraId="17865E15">
      <w:pPr>
        <w:pStyle w:val="16"/>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643" w:firstLineChars="200"/>
        <w:jc w:val="left"/>
        <w:textAlignment w:val="auto"/>
        <w:outlineLvl w:val="2"/>
        <w:rPr>
          <w:rFonts w:hint="eastAsia" w:ascii="Times New Roman" w:hAnsi="Times New Roman" w:eastAsia="仿宋_GB2312" w:cstheme="minorBidi"/>
          <w:b/>
          <w:bCs/>
          <w:kern w:val="2"/>
          <w:sz w:val="32"/>
          <w:szCs w:val="32"/>
          <w:lang w:val="en-US" w:eastAsia="zh-CN" w:bidi="ar-SA"/>
        </w:rPr>
      </w:pPr>
      <w:r>
        <w:rPr>
          <w:rFonts w:hint="eastAsia" w:ascii="Times New Roman" w:hAnsi="Times New Roman" w:eastAsia="仿宋_GB2312" w:cstheme="minorBidi"/>
          <w:b/>
          <w:bCs/>
          <w:kern w:val="2"/>
          <w:sz w:val="32"/>
          <w:szCs w:val="32"/>
          <w:lang w:val="en-US" w:eastAsia="zh-CN" w:bidi="ar-SA"/>
        </w:rPr>
        <w:t>3. 国内外相关标准情况</w:t>
      </w:r>
    </w:p>
    <w:p w14:paraId="404E5268">
      <w:pPr>
        <w:pStyle w:val="16"/>
        <w:keepNext w:val="0"/>
        <w:keepLines w:val="0"/>
        <w:pageBreakBefore w:val="0"/>
        <w:widowControl w:val="0"/>
        <w:numPr>
          <w:ilvl w:val="0"/>
          <w:numId w:val="1"/>
        </w:numPr>
        <w:kinsoku/>
        <w:wordWrap/>
        <w:overflowPunct/>
        <w:topLinePunct w:val="0"/>
        <w:autoSpaceDE/>
        <w:autoSpaceDN/>
        <w:bidi w:val="0"/>
        <w:adjustRightInd/>
        <w:snapToGrid/>
        <w:spacing w:line="360" w:lineRule="auto"/>
        <w:ind w:left="170" w:leftChars="0" w:hanging="170" w:firstLineChars="0"/>
        <w:jc w:val="left"/>
        <w:textAlignment w:val="auto"/>
        <w:rPr>
          <w:rFonts w:hint="eastAsia" w:ascii="Times New Roman" w:hAnsi="Times New Roman" w:eastAsia="仿宋_GB2312"/>
          <w:b/>
          <w:bCs/>
          <w:sz w:val="32"/>
          <w:szCs w:val="32"/>
        </w:rPr>
      </w:pPr>
      <w:r>
        <w:rPr>
          <w:rFonts w:hint="eastAsia" w:ascii="Times New Roman" w:hAnsi="Times New Roman" w:eastAsia="仿宋_GB2312"/>
          <w:b/>
          <w:bCs/>
          <w:sz w:val="32"/>
          <w:szCs w:val="32"/>
        </w:rPr>
        <w:t>国外相关规范</w:t>
      </w:r>
    </w:p>
    <w:p w14:paraId="1974C670">
      <w:pPr>
        <w:pStyle w:val="16"/>
        <w:keepNext w:val="0"/>
        <w:keepLines w:val="0"/>
        <w:pageBreakBefore w:val="0"/>
        <w:widowControl w:val="0"/>
        <w:kinsoku/>
        <w:wordWrap/>
        <w:overflowPunct/>
        <w:topLinePunct w:val="0"/>
        <w:autoSpaceDE/>
        <w:autoSpaceDN/>
        <w:bidi w:val="0"/>
        <w:adjustRightInd/>
        <w:snapToGrid/>
        <w:spacing w:line="360" w:lineRule="auto"/>
        <w:ind w:left="0" w:leftChars="0"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美国联邦公路局（FHWA）于1988年发布的《Highway Slope Maintenance and Slide Restoration Workshop》（FHWA-RT-88-040）第Ⅲ.C节“Instrumentation”介绍了公路边坡监测方案设计，2008年发布的《Highway Slope Maintenance and Slide Restoration Reference Manual》（FHWA/NHI 08-098）第5.7节“Monitoring and Observation”对此进行了补充。此外，日本道路协会（JRA）于1999年发布《Slope Stabilization Guidelines for Slopes》，韩国建设交通部（MOCT）于2006年发布《建设工程坡面设计标准》等。</w:t>
      </w:r>
    </w:p>
    <w:p w14:paraId="1275BBB4">
      <w:pPr>
        <w:pStyle w:val="16"/>
        <w:keepNext w:val="0"/>
        <w:keepLines w:val="0"/>
        <w:pageBreakBefore w:val="0"/>
        <w:widowControl w:val="0"/>
        <w:numPr>
          <w:ilvl w:val="0"/>
          <w:numId w:val="1"/>
        </w:numPr>
        <w:kinsoku/>
        <w:wordWrap/>
        <w:overflowPunct/>
        <w:topLinePunct w:val="0"/>
        <w:autoSpaceDE/>
        <w:autoSpaceDN/>
        <w:bidi w:val="0"/>
        <w:adjustRightInd/>
        <w:snapToGrid/>
        <w:spacing w:line="360" w:lineRule="auto"/>
        <w:ind w:left="170" w:leftChars="0" w:hanging="170" w:firstLineChars="0"/>
        <w:jc w:val="left"/>
        <w:textAlignment w:val="auto"/>
        <w:rPr>
          <w:rFonts w:hint="eastAsia" w:ascii="Times New Roman" w:hAnsi="Times New Roman" w:eastAsia="仿宋_GB2312"/>
          <w:b/>
          <w:bCs/>
          <w:sz w:val="32"/>
          <w:szCs w:val="32"/>
          <w:lang w:val="en-US" w:eastAsia="zh-CN"/>
        </w:rPr>
      </w:pPr>
      <w:r>
        <w:rPr>
          <w:rFonts w:hint="eastAsia" w:ascii="Times New Roman" w:hAnsi="Times New Roman" w:eastAsia="仿宋_GB2312"/>
          <w:b/>
          <w:bCs/>
          <w:sz w:val="32"/>
          <w:szCs w:val="32"/>
          <w:lang w:val="en-US" w:eastAsia="zh-CN"/>
        </w:rPr>
        <w:t>国内现行相关规范</w:t>
      </w:r>
    </w:p>
    <w:p w14:paraId="2EB3E33C">
      <w:pPr>
        <w:pStyle w:val="16"/>
        <w:keepNext w:val="0"/>
        <w:keepLines w:val="0"/>
        <w:pageBreakBefore w:val="0"/>
        <w:widowControl w:val="0"/>
        <w:kinsoku/>
        <w:wordWrap/>
        <w:overflowPunct/>
        <w:topLinePunct w:val="0"/>
        <w:autoSpaceDE/>
        <w:autoSpaceDN/>
        <w:bidi w:val="0"/>
        <w:adjustRightInd/>
        <w:snapToGrid/>
        <w:spacing w:line="360" w:lineRule="auto"/>
        <w:ind w:left="0" w:leftChars="0"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国内最早的相关规范为香港土力工程处（Geotechnical Control Office）于1994年发布的《Geotechnical Manual for Slopes》。</w:t>
      </w:r>
    </w:p>
    <w:p w14:paraId="4575D790">
      <w:pPr>
        <w:pStyle w:val="16"/>
        <w:keepNext w:val="0"/>
        <w:keepLines w:val="0"/>
        <w:pageBreakBefore w:val="0"/>
        <w:widowControl w:val="0"/>
        <w:kinsoku/>
        <w:wordWrap/>
        <w:overflowPunct/>
        <w:topLinePunct w:val="0"/>
        <w:autoSpaceDE/>
        <w:autoSpaceDN/>
        <w:bidi w:val="0"/>
        <w:adjustRightInd/>
        <w:snapToGrid/>
        <w:spacing w:line="360" w:lineRule="auto"/>
        <w:ind w:left="0" w:leftChars="0"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w:t>
      </w:r>
      <w:r>
        <w:rPr>
          <w:rFonts w:hint="eastAsia" w:ascii="Times New Roman" w:hAnsi="Times New Roman" w:eastAsia="仿宋_GB2312"/>
          <w:b/>
          <w:bCs/>
          <w:sz w:val="32"/>
          <w:szCs w:val="32"/>
        </w:rPr>
        <w:t>现行国家标准方面</w:t>
      </w:r>
      <w:r>
        <w:rPr>
          <w:rFonts w:hint="eastAsia" w:ascii="Times New Roman" w:hAnsi="Times New Roman" w:eastAsia="仿宋_GB2312"/>
          <w:sz w:val="32"/>
          <w:szCs w:val="32"/>
        </w:rPr>
        <w:t>：《建筑边坡工程技术规范》（GB 50330-2013）第19章“边坡工程监测、质量检验与验收”对不同等级边坡的监测内容提出了要求，但缺乏自动化监测实施的具体内容。《煤炭工业露天矿边坡工程监测规范》（GB 51214-2017）对露天煤矿边坡自动化监测提出了明确要求，但由于露天煤矿边坡与山区公路边坡的开挖支护形式差异较大，其监测内容与布设方式不适用于公路边坡。</w:t>
      </w:r>
    </w:p>
    <w:p w14:paraId="7DD95B0B">
      <w:pPr>
        <w:pStyle w:val="16"/>
        <w:keepNext w:val="0"/>
        <w:keepLines w:val="0"/>
        <w:pageBreakBefore w:val="0"/>
        <w:widowControl w:val="0"/>
        <w:kinsoku/>
        <w:wordWrap/>
        <w:overflowPunct/>
        <w:topLinePunct w:val="0"/>
        <w:autoSpaceDE/>
        <w:autoSpaceDN/>
        <w:bidi w:val="0"/>
        <w:adjustRightInd/>
        <w:snapToGrid/>
        <w:spacing w:line="360" w:lineRule="auto"/>
        <w:ind w:left="0" w:leftChars="0"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w:t>
      </w:r>
      <w:r>
        <w:rPr>
          <w:rFonts w:hint="eastAsia" w:ascii="Times New Roman" w:hAnsi="Times New Roman" w:eastAsia="仿宋_GB2312"/>
          <w:b/>
          <w:bCs/>
          <w:sz w:val="32"/>
          <w:szCs w:val="32"/>
        </w:rPr>
        <w:t>现行行业标准方面</w:t>
      </w:r>
      <w:r>
        <w:rPr>
          <w:rFonts w:hint="eastAsia" w:ascii="Times New Roman" w:hAnsi="Times New Roman" w:eastAsia="仿宋_GB2312"/>
          <w:sz w:val="32"/>
          <w:szCs w:val="32"/>
        </w:rPr>
        <w:t>：《公路路基设计规范》（JTG D30-2015）第5章“路基防护与支挡”对不同边坡防护形式的监测内容提出了要求，但同样缺少自动化监测相关内容。</w:t>
      </w:r>
    </w:p>
    <w:p w14:paraId="66232A76">
      <w:pPr>
        <w:pStyle w:val="16"/>
        <w:keepNext w:val="0"/>
        <w:keepLines w:val="0"/>
        <w:pageBreakBefore w:val="0"/>
        <w:widowControl w:val="0"/>
        <w:kinsoku/>
        <w:wordWrap/>
        <w:overflowPunct/>
        <w:topLinePunct w:val="0"/>
        <w:autoSpaceDE/>
        <w:autoSpaceDN/>
        <w:bidi w:val="0"/>
        <w:adjustRightInd/>
        <w:snapToGrid/>
        <w:spacing w:line="360" w:lineRule="auto"/>
        <w:ind w:left="0" w:leftChars="0"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w:t>
      </w:r>
      <w:r>
        <w:rPr>
          <w:rFonts w:hint="eastAsia" w:ascii="Times New Roman" w:hAnsi="Times New Roman" w:eastAsia="仿宋_GB2312"/>
          <w:b/>
          <w:bCs/>
          <w:sz w:val="32"/>
          <w:szCs w:val="32"/>
        </w:rPr>
        <w:t>现行地方标准方面</w:t>
      </w:r>
      <w:r>
        <w:rPr>
          <w:rFonts w:hint="eastAsia" w:ascii="Times New Roman" w:hAnsi="Times New Roman" w:eastAsia="仿宋_GB2312"/>
          <w:sz w:val="32"/>
          <w:szCs w:val="32"/>
        </w:rPr>
        <w:t>：湖南省《公路边坡地质灾害智能监测技术规程》（DB43/T 2448-2022）涵盖了边坡监测内容、现场安装、设备维护、数据采集、分析及预警等要求。湖北省《公路边坡监测技术规程》（DB42/T 1496-2019）第10章“自动化监测”对监测仪器设备、安装、采集传输及供配电等做出了规定。山东省《路基边坡变形远程监测预警系统技术标准》对远程监测设计、系统安装调试、运营及维护提出了要求。</w:t>
      </w:r>
    </w:p>
    <w:p w14:paraId="7C5C0482">
      <w:pPr>
        <w:pStyle w:val="16"/>
        <w:keepNext w:val="0"/>
        <w:keepLines w:val="0"/>
        <w:pageBreakBefore w:val="0"/>
        <w:widowControl w:val="0"/>
        <w:kinsoku/>
        <w:wordWrap/>
        <w:overflowPunct/>
        <w:topLinePunct w:val="0"/>
        <w:autoSpaceDE/>
        <w:autoSpaceDN/>
        <w:bidi w:val="0"/>
        <w:adjustRightInd/>
        <w:snapToGrid/>
        <w:spacing w:line="360" w:lineRule="auto"/>
        <w:ind w:left="0" w:leftChars="0"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随着边坡监测重视程度提升，广东、陕西、河南等省份也陆续出台了地方标准。然而，各地标准在边坡监测内容上存在差异，不利于行业整体协调发展。</w:t>
      </w:r>
    </w:p>
    <w:p w14:paraId="5FAD8526">
      <w:pPr>
        <w:pStyle w:val="16"/>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outlineLvl w:val="1"/>
        <w:rPr>
          <w:rFonts w:hint="default" w:ascii="楷体_GB2312" w:hAnsi="楷体_GB2312" w:eastAsia="楷体_GB2312" w:cs="楷体_GB2312"/>
          <w:b/>
          <w:bCs/>
          <w:sz w:val="32"/>
          <w:szCs w:val="32"/>
          <w:lang w:val="en-US" w:eastAsia="zh-CN"/>
        </w:rPr>
      </w:pPr>
      <w:bookmarkStart w:id="2" w:name="_Toc7888"/>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二）编制目的及意义</w:t>
      </w:r>
      <w:bookmarkEnd w:id="2"/>
    </w:p>
    <w:p w14:paraId="648CD74D">
      <w:pPr>
        <w:pStyle w:val="16"/>
        <w:keepNext w:val="0"/>
        <w:keepLines w:val="0"/>
        <w:pageBreakBefore w:val="0"/>
        <w:widowControl w:val="0"/>
        <w:kinsoku/>
        <w:wordWrap/>
        <w:overflowPunct/>
        <w:topLinePunct w:val="0"/>
        <w:autoSpaceDE/>
        <w:autoSpaceDN/>
        <w:bidi w:val="0"/>
        <w:adjustRightInd/>
        <w:snapToGrid/>
        <w:spacing w:line="360" w:lineRule="auto"/>
        <w:ind w:left="0" w:leftChars="0" w:firstLine="640" w:firstLineChars="200"/>
        <w:jc w:val="left"/>
        <w:textAlignment w:val="auto"/>
        <w:rPr>
          <w:rFonts w:hint="default" w:ascii="Times New Roman" w:hAnsi="Times New Roman" w:eastAsia="仿宋_GB2312"/>
          <w:sz w:val="32"/>
          <w:szCs w:val="32"/>
          <w:lang w:val="en-US" w:eastAsia="zh-CN"/>
        </w:rPr>
      </w:pPr>
      <w:r>
        <w:rPr>
          <w:rFonts w:hint="default" w:ascii="Times New Roman" w:hAnsi="Times New Roman" w:eastAsia="仿宋_GB2312"/>
          <w:sz w:val="32"/>
          <w:szCs w:val="32"/>
          <w:lang w:val="en-US" w:eastAsia="zh-CN"/>
        </w:rPr>
        <w:t>为提升区域公路高边坡监测预警能力的现代化水平，亟须在已有研究成果和实践经验基础上，制定相应的监测预警系统技术规程，以规范指导未来边坡自动化监测预警系统建设。拟解决主要问题具体阐述如下：</w:t>
      </w:r>
    </w:p>
    <w:p w14:paraId="62DC622C">
      <w:pPr>
        <w:pStyle w:val="16"/>
        <w:keepNext w:val="0"/>
        <w:keepLines w:val="0"/>
        <w:pageBreakBefore w:val="0"/>
        <w:widowControl w:val="0"/>
        <w:numPr>
          <w:ilvl w:val="0"/>
          <w:numId w:val="1"/>
        </w:numPr>
        <w:kinsoku/>
        <w:wordWrap/>
        <w:overflowPunct/>
        <w:topLinePunct w:val="0"/>
        <w:autoSpaceDE/>
        <w:autoSpaceDN/>
        <w:bidi w:val="0"/>
        <w:adjustRightInd/>
        <w:snapToGrid/>
        <w:spacing w:line="360" w:lineRule="auto"/>
        <w:ind w:left="170" w:leftChars="0" w:hanging="170" w:firstLineChars="0"/>
        <w:jc w:val="left"/>
        <w:textAlignment w:val="auto"/>
        <w:rPr>
          <w:rFonts w:hint="default" w:ascii="Times New Roman" w:hAnsi="Times New Roman" w:eastAsia="仿宋_GB2312"/>
          <w:b/>
          <w:bCs/>
          <w:sz w:val="32"/>
          <w:szCs w:val="32"/>
          <w:lang w:val="en-US" w:eastAsia="zh-CN"/>
        </w:rPr>
      </w:pPr>
      <w:r>
        <w:rPr>
          <w:rFonts w:hint="default" w:ascii="Times New Roman" w:hAnsi="Times New Roman" w:eastAsia="仿宋_GB2312"/>
          <w:b/>
          <w:bCs/>
          <w:sz w:val="32"/>
          <w:szCs w:val="32"/>
          <w:lang w:val="en-US" w:eastAsia="zh-CN"/>
        </w:rPr>
        <w:t>明确系统建设流程与内容，为工程实施提供规范化依据</w:t>
      </w:r>
    </w:p>
    <w:p w14:paraId="19016BB2">
      <w:pPr>
        <w:pStyle w:val="16"/>
        <w:keepNext w:val="0"/>
        <w:keepLines w:val="0"/>
        <w:pageBreakBefore w:val="0"/>
        <w:widowControl w:val="0"/>
        <w:kinsoku/>
        <w:wordWrap/>
        <w:overflowPunct/>
        <w:topLinePunct w:val="0"/>
        <w:autoSpaceDE/>
        <w:autoSpaceDN/>
        <w:bidi w:val="0"/>
        <w:adjustRightInd/>
        <w:snapToGrid/>
        <w:spacing w:line="360" w:lineRule="auto"/>
        <w:ind w:left="0" w:leftChars="0" w:firstLine="640" w:firstLineChars="200"/>
        <w:jc w:val="left"/>
        <w:textAlignment w:val="auto"/>
        <w:rPr>
          <w:rFonts w:hint="default" w:ascii="Times New Roman" w:hAnsi="Times New Roman" w:eastAsia="仿宋_GB2312"/>
          <w:sz w:val="32"/>
          <w:szCs w:val="32"/>
          <w:lang w:val="en-US" w:eastAsia="zh-CN"/>
        </w:rPr>
      </w:pPr>
      <w:r>
        <w:rPr>
          <w:rFonts w:hint="default" w:ascii="Times New Roman" w:hAnsi="Times New Roman" w:eastAsia="仿宋_GB2312"/>
          <w:sz w:val="32"/>
          <w:szCs w:val="32"/>
          <w:lang w:val="en-US" w:eastAsia="zh-CN"/>
        </w:rPr>
        <w:t>本规程将明确规定边坡自动化监测预警系统从设计、安装、测试到验收的全过程内容及相应证明材料，确保工程建设各环节的规范化。</w:t>
      </w:r>
    </w:p>
    <w:p w14:paraId="107F340C">
      <w:pPr>
        <w:pStyle w:val="16"/>
        <w:keepNext w:val="0"/>
        <w:keepLines w:val="0"/>
        <w:pageBreakBefore w:val="0"/>
        <w:widowControl w:val="0"/>
        <w:numPr>
          <w:ilvl w:val="0"/>
          <w:numId w:val="1"/>
        </w:numPr>
        <w:kinsoku/>
        <w:wordWrap/>
        <w:overflowPunct/>
        <w:topLinePunct w:val="0"/>
        <w:autoSpaceDE/>
        <w:autoSpaceDN/>
        <w:bidi w:val="0"/>
        <w:adjustRightInd/>
        <w:snapToGrid/>
        <w:spacing w:line="360" w:lineRule="auto"/>
        <w:ind w:left="170" w:leftChars="0" w:hanging="170" w:firstLineChars="0"/>
        <w:jc w:val="left"/>
        <w:textAlignment w:val="auto"/>
        <w:rPr>
          <w:rFonts w:hint="default" w:ascii="Times New Roman" w:hAnsi="Times New Roman" w:eastAsia="仿宋_GB2312"/>
          <w:b/>
          <w:bCs/>
          <w:sz w:val="32"/>
          <w:szCs w:val="32"/>
          <w:lang w:val="en-US" w:eastAsia="zh-CN"/>
        </w:rPr>
      </w:pPr>
      <w:r>
        <w:rPr>
          <w:rFonts w:hint="default" w:ascii="Times New Roman" w:hAnsi="Times New Roman" w:eastAsia="仿宋_GB2312"/>
          <w:b/>
          <w:bCs/>
          <w:sz w:val="32"/>
          <w:szCs w:val="32"/>
          <w:lang w:val="en-US" w:eastAsia="zh-CN"/>
        </w:rPr>
        <w:t>强化监测预警水平，提升公路防灾能力</w:t>
      </w:r>
    </w:p>
    <w:p w14:paraId="75C9AA84">
      <w:pPr>
        <w:pStyle w:val="16"/>
        <w:keepNext w:val="0"/>
        <w:keepLines w:val="0"/>
        <w:pageBreakBefore w:val="0"/>
        <w:widowControl w:val="0"/>
        <w:kinsoku/>
        <w:wordWrap/>
        <w:overflowPunct/>
        <w:topLinePunct w:val="0"/>
        <w:autoSpaceDE/>
        <w:autoSpaceDN/>
        <w:bidi w:val="0"/>
        <w:adjustRightInd/>
        <w:snapToGrid/>
        <w:spacing w:line="360" w:lineRule="auto"/>
        <w:ind w:left="0" w:leftChars="0" w:firstLine="640" w:firstLineChars="200"/>
        <w:jc w:val="left"/>
        <w:textAlignment w:val="auto"/>
        <w:rPr>
          <w:rFonts w:hint="default" w:ascii="Times New Roman" w:hAnsi="Times New Roman" w:eastAsia="仿宋_GB2312"/>
          <w:sz w:val="32"/>
          <w:szCs w:val="32"/>
          <w:lang w:val="en-US" w:eastAsia="zh-CN"/>
        </w:rPr>
      </w:pPr>
      <w:r>
        <w:rPr>
          <w:rFonts w:hint="default" w:ascii="Times New Roman" w:hAnsi="Times New Roman" w:eastAsia="仿宋_GB2312"/>
          <w:sz w:val="32"/>
          <w:szCs w:val="32"/>
          <w:lang w:val="en-US" w:eastAsia="zh-CN"/>
        </w:rPr>
        <w:t>人工监测精度低、频率低，在边坡病害早期变形较小阶段难以识别，且因监测频率低，预报及时性较差。自动化监测预警系统采用“传感器+物联网”模式，传感器保障精度，物联网支持高频数据采集与传输，可有效提升预报的及时性和准确性。</w:t>
      </w:r>
    </w:p>
    <w:p w14:paraId="58EFCB0A">
      <w:pPr>
        <w:pStyle w:val="16"/>
        <w:keepNext w:val="0"/>
        <w:keepLines w:val="0"/>
        <w:pageBreakBefore w:val="0"/>
        <w:widowControl w:val="0"/>
        <w:numPr>
          <w:ilvl w:val="0"/>
          <w:numId w:val="1"/>
        </w:numPr>
        <w:kinsoku/>
        <w:wordWrap/>
        <w:overflowPunct/>
        <w:topLinePunct w:val="0"/>
        <w:autoSpaceDE/>
        <w:autoSpaceDN/>
        <w:bidi w:val="0"/>
        <w:adjustRightInd/>
        <w:snapToGrid/>
        <w:spacing w:line="360" w:lineRule="auto"/>
        <w:ind w:left="170" w:leftChars="0" w:hanging="170" w:firstLineChars="0"/>
        <w:jc w:val="left"/>
        <w:textAlignment w:val="auto"/>
        <w:rPr>
          <w:rFonts w:hint="default" w:ascii="Times New Roman" w:hAnsi="Times New Roman" w:eastAsia="仿宋_GB2312"/>
          <w:b/>
          <w:bCs/>
          <w:sz w:val="32"/>
          <w:szCs w:val="32"/>
          <w:lang w:val="en-US" w:eastAsia="zh-CN"/>
        </w:rPr>
      </w:pPr>
      <w:r>
        <w:rPr>
          <w:rFonts w:hint="default" w:ascii="Times New Roman" w:hAnsi="Times New Roman" w:eastAsia="仿宋_GB2312"/>
          <w:b/>
          <w:bCs/>
          <w:sz w:val="32"/>
          <w:szCs w:val="32"/>
          <w:lang w:val="en-US" w:eastAsia="zh-CN"/>
        </w:rPr>
        <w:t>统一数据建设标准，保障平台互通</w:t>
      </w:r>
    </w:p>
    <w:p w14:paraId="0C404BF5">
      <w:pPr>
        <w:pStyle w:val="16"/>
        <w:keepNext w:val="0"/>
        <w:keepLines w:val="0"/>
        <w:pageBreakBefore w:val="0"/>
        <w:widowControl w:val="0"/>
        <w:kinsoku/>
        <w:wordWrap/>
        <w:overflowPunct/>
        <w:topLinePunct w:val="0"/>
        <w:autoSpaceDE/>
        <w:autoSpaceDN/>
        <w:bidi w:val="0"/>
        <w:adjustRightInd/>
        <w:snapToGrid/>
        <w:spacing w:line="360" w:lineRule="auto"/>
        <w:ind w:left="0" w:leftChars="0" w:firstLine="640" w:firstLineChars="200"/>
        <w:jc w:val="left"/>
        <w:textAlignment w:val="auto"/>
        <w:rPr>
          <w:rFonts w:hint="default" w:ascii="Times New Roman" w:hAnsi="Times New Roman" w:eastAsia="仿宋_GB2312"/>
          <w:sz w:val="32"/>
          <w:szCs w:val="32"/>
          <w:lang w:val="en-US" w:eastAsia="zh-CN"/>
        </w:rPr>
      </w:pPr>
      <w:r>
        <w:rPr>
          <w:rFonts w:hint="default" w:ascii="Times New Roman" w:hAnsi="Times New Roman" w:eastAsia="仿宋_GB2312"/>
          <w:sz w:val="32"/>
          <w:szCs w:val="32"/>
          <w:lang w:val="en-US" w:eastAsia="zh-CN"/>
        </w:rPr>
        <w:t>当前由于缺乏相关规范，零星建设的边坡自动化监测预警系统在传感器设备、数据格式、通信协议及预警标准等方面不统一，易形成“数据孤岛”，不利于未来国家级监测中心的建设。本技术规程的制定将统一数据建设标准，实现不同地区路段边坡监测数据的互通，有效避免“数据孤岛”问题。</w:t>
      </w:r>
    </w:p>
    <w:p w14:paraId="0EA9ECAF">
      <w:pPr>
        <w:pStyle w:val="16"/>
        <w:keepNext w:val="0"/>
        <w:keepLines w:val="0"/>
        <w:pageBreakBefore w:val="0"/>
        <w:widowControl w:val="0"/>
        <w:numPr>
          <w:ilvl w:val="0"/>
          <w:numId w:val="1"/>
        </w:numPr>
        <w:kinsoku/>
        <w:wordWrap/>
        <w:overflowPunct/>
        <w:topLinePunct w:val="0"/>
        <w:autoSpaceDE/>
        <w:autoSpaceDN/>
        <w:bidi w:val="0"/>
        <w:adjustRightInd/>
        <w:snapToGrid/>
        <w:spacing w:line="360" w:lineRule="auto"/>
        <w:ind w:left="170" w:leftChars="0" w:hanging="170" w:firstLineChars="0"/>
        <w:jc w:val="left"/>
        <w:textAlignment w:val="auto"/>
        <w:rPr>
          <w:rFonts w:hint="default" w:ascii="Times New Roman" w:hAnsi="Times New Roman" w:eastAsia="仿宋_GB2312"/>
          <w:b/>
          <w:bCs/>
          <w:sz w:val="32"/>
          <w:szCs w:val="32"/>
          <w:lang w:val="en-US" w:eastAsia="zh-CN"/>
        </w:rPr>
      </w:pPr>
      <w:r>
        <w:rPr>
          <w:rFonts w:hint="default" w:ascii="Times New Roman" w:hAnsi="Times New Roman" w:eastAsia="仿宋_GB2312"/>
          <w:b/>
          <w:bCs/>
          <w:sz w:val="32"/>
          <w:szCs w:val="32"/>
          <w:lang w:val="en-US" w:eastAsia="zh-CN"/>
        </w:rPr>
        <w:t>提升边坡监测与巡查的自动化程度，解放人工劳力</w:t>
      </w:r>
    </w:p>
    <w:p w14:paraId="389A806B">
      <w:pPr>
        <w:pStyle w:val="16"/>
        <w:keepNext w:val="0"/>
        <w:keepLines w:val="0"/>
        <w:pageBreakBefore w:val="0"/>
        <w:widowControl w:val="0"/>
        <w:kinsoku/>
        <w:wordWrap/>
        <w:overflowPunct/>
        <w:topLinePunct w:val="0"/>
        <w:autoSpaceDE/>
        <w:autoSpaceDN/>
        <w:bidi w:val="0"/>
        <w:adjustRightInd/>
        <w:snapToGrid/>
        <w:spacing w:line="360" w:lineRule="auto"/>
        <w:ind w:left="0" w:leftChars="0" w:firstLine="640" w:firstLineChars="200"/>
        <w:jc w:val="left"/>
        <w:textAlignment w:val="auto"/>
        <w:rPr>
          <w:rFonts w:hint="default" w:ascii="Times New Roman" w:hAnsi="Times New Roman" w:eastAsia="仿宋_GB2312"/>
          <w:sz w:val="32"/>
          <w:szCs w:val="32"/>
          <w:lang w:val="en-US" w:eastAsia="zh-CN"/>
        </w:rPr>
      </w:pPr>
      <w:r>
        <w:rPr>
          <w:rFonts w:hint="default" w:ascii="Times New Roman" w:hAnsi="Times New Roman" w:eastAsia="仿宋_GB2312"/>
          <w:sz w:val="32"/>
          <w:szCs w:val="32"/>
          <w:lang w:val="en-US" w:eastAsia="zh-CN"/>
        </w:rPr>
        <w:t>现有以人工为主的边坡监测与巡查方式需投入大量人力，与我国人工劳动力短缺的现状相矛盾。采用自动化监测，可大幅减少运营阶段在边坡测量与巡查上的人力投入。</w:t>
      </w:r>
    </w:p>
    <w:p w14:paraId="406D8D45">
      <w:pPr>
        <w:pStyle w:val="16"/>
        <w:keepNext w:val="0"/>
        <w:keepLines w:val="0"/>
        <w:pageBreakBefore w:val="0"/>
        <w:widowControl w:val="0"/>
        <w:kinsoku/>
        <w:wordWrap/>
        <w:overflowPunct/>
        <w:topLinePunct w:val="0"/>
        <w:autoSpaceDE/>
        <w:autoSpaceDN/>
        <w:bidi w:val="0"/>
        <w:adjustRightInd/>
        <w:snapToGrid/>
        <w:spacing w:line="360" w:lineRule="auto"/>
        <w:ind w:left="0" w:leftChars="0" w:firstLine="640" w:firstLineChars="200"/>
        <w:jc w:val="left"/>
        <w:textAlignment w:val="auto"/>
        <w:rPr>
          <w:rFonts w:hint="default" w:ascii="黑体" w:hAnsi="黑体" w:eastAsia="黑体" w:cs="黑体"/>
          <w:b/>
          <w:bCs/>
          <w:sz w:val="32"/>
          <w:szCs w:val="32"/>
          <w:lang w:val="en-US" w:eastAsia="zh-CN"/>
        </w:rPr>
      </w:pPr>
      <w:r>
        <w:rPr>
          <w:rFonts w:hint="default" w:ascii="Times New Roman" w:hAnsi="Times New Roman" w:eastAsia="仿宋_GB2312"/>
          <w:sz w:val="32"/>
          <w:szCs w:val="32"/>
          <w:lang w:val="en-US" w:eastAsia="zh-CN"/>
        </w:rPr>
        <w:t>综上所述，本规程的制定将为长三角公路边坡自动化监测预警系统的建设提供技术支撑和实施参考，具有重要的现实意义。</w:t>
      </w:r>
    </w:p>
    <w:p w14:paraId="6BF421D9">
      <w:pPr>
        <w:pStyle w:val="16"/>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left"/>
        <w:textAlignment w:val="auto"/>
        <w:outlineLvl w:val="0"/>
        <w:rPr>
          <w:rFonts w:hint="eastAsia" w:ascii="黑体" w:hAnsi="黑体" w:eastAsia="黑体" w:cs="黑体"/>
          <w:b/>
          <w:bCs/>
          <w:sz w:val="32"/>
          <w:szCs w:val="32"/>
          <w:lang w:val="en-US" w:eastAsia="zh-CN"/>
        </w:rPr>
      </w:pPr>
      <w:bookmarkStart w:id="3" w:name="_Toc23663"/>
      <w:r>
        <w:rPr>
          <w:rFonts w:hint="eastAsia" w:ascii="黑体" w:hAnsi="黑体" w:eastAsia="黑体" w:cs="黑体"/>
          <w:b/>
          <w:bCs/>
          <w:kern w:val="2"/>
          <w:sz w:val="32"/>
          <w:szCs w:val="32"/>
          <w:lang w:val="en-US" w:eastAsia="zh-CN" w:bidi="ar-SA"/>
        </w:rPr>
        <w:t>二、</w:t>
      </w:r>
      <w:r>
        <w:rPr>
          <w:rFonts w:hint="eastAsia" w:ascii="黑体" w:hAnsi="黑体" w:eastAsia="黑体" w:cs="黑体"/>
          <w:b/>
          <w:bCs/>
          <w:sz w:val="32"/>
          <w:szCs w:val="32"/>
          <w:lang w:val="en-US" w:eastAsia="zh-CN"/>
        </w:rPr>
        <w:t>任务来源</w:t>
      </w:r>
      <w:bookmarkEnd w:id="3"/>
    </w:p>
    <w:p w14:paraId="69A72536">
      <w:pPr>
        <w:pStyle w:val="16"/>
        <w:keepNext w:val="0"/>
        <w:keepLines w:val="0"/>
        <w:pageBreakBefore w:val="0"/>
        <w:widowControl w:val="0"/>
        <w:kinsoku/>
        <w:wordWrap/>
        <w:overflowPunct/>
        <w:topLinePunct w:val="0"/>
        <w:autoSpaceDE/>
        <w:autoSpaceDN/>
        <w:bidi w:val="0"/>
        <w:adjustRightInd/>
        <w:snapToGrid/>
        <w:spacing w:line="360" w:lineRule="auto"/>
        <w:ind w:left="0" w:leftChars="0"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经</w:t>
      </w:r>
      <w:r>
        <w:rPr>
          <w:rFonts w:hint="eastAsia" w:ascii="Times New Roman" w:hAnsi="Times New Roman" w:eastAsia="仿宋_GB2312"/>
          <w:sz w:val="32"/>
          <w:szCs w:val="32"/>
          <w:lang w:val="en-US" w:eastAsia="zh-CN"/>
        </w:rPr>
        <w:t>三省一市</w:t>
      </w:r>
      <w:r>
        <w:rPr>
          <w:rFonts w:hint="eastAsia" w:ascii="Times New Roman" w:hAnsi="Times New Roman" w:eastAsia="仿宋_GB2312"/>
          <w:sz w:val="32"/>
          <w:szCs w:val="32"/>
        </w:rPr>
        <w:t>交通运输厅</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交通运输委员会）</w:t>
      </w:r>
      <w:r>
        <w:rPr>
          <w:rFonts w:hint="eastAsia" w:ascii="Times New Roman" w:hAnsi="Times New Roman" w:eastAsia="仿宋_GB2312"/>
          <w:sz w:val="32"/>
          <w:szCs w:val="32"/>
        </w:rPr>
        <w:t>推荐，《公路边坡自动化监测技术规程》被</w:t>
      </w:r>
      <w:r>
        <w:rPr>
          <w:rFonts w:hint="eastAsia" w:ascii="Times New Roman" w:hAnsi="Times New Roman" w:eastAsia="仿宋_GB2312"/>
          <w:sz w:val="32"/>
          <w:szCs w:val="32"/>
          <w:lang w:val="en-US" w:eastAsia="zh-CN"/>
        </w:rPr>
        <w:t>三省一市</w:t>
      </w:r>
      <w:r>
        <w:rPr>
          <w:rFonts w:hint="eastAsia" w:ascii="Times New Roman" w:hAnsi="Times New Roman" w:eastAsia="仿宋_GB2312"/>
          <w:sz w:val="32"/>
          <w:szCs w:val="32"/>
        </w:rPr>
        <w:t>市场监督管理局列入202</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年第</w:t>
      </w:r>
      <w:r>
        <w:rPr>
          <w:rFonts w:hint="eastAsia" w:ascii="Times New Roman" w:hAnsi="Times New Roman" w:eastAsia="仿宋_GB2312"/>
          <w:sz w:val="32"/>
          <w:szCs w:val="32"/>
          <w:lang w:val="en-US" w:eastAsia="zh-CN"/>
        </w:rPr>
        <w:t>一</w:t>
      </w:r>
      <w:r>
        <w:rPr>
          <w:rFonts w:hint="eastAsia" w:ascii="Times New Roman" w:hAnsi="Times New Roman" w:eastAsia="仿宋_GB2312"/>
          <w:sz w:val="32"/>
          <w:szCs w:val="32"/>
        </w:rPr>
        <w:t>批长三角区域地方标准制修订计划，详见《关于下达2025年度第一批长三角区域地方标准制修订计划的通知》（</w:t>
      </w:r>
      <w:r>
        <w:rPr>
          <w:rFonts w:hint="eastAsia" w:ascii="Times New Roman" w:hAnsi="Times New Roman" w:eastAsia="仿宋_GB2312"/>
          <w:sz w:val="32"/>
          <w:szCs w:val="32"/>
          <w:lang w:val="en-US" w:eastAsia="zh-CN"/>
        </w:rPr>
        <w:t>苏</w:t>
      </w:r>
      <w:r>
        <w:rPr>
          <w:rFonts w:hint="eastAsia" w:ascii="Times New Roman" w:hAnsi="Times New Roman" w:eastAsia="仿宋_GB2312"/>
          <w:sz w:val="32"/>
          <w:szCs w:val="32"/>
        </w:rPr>
        <w:t>市监</w:t>
      </w:r>
      <w:r>
        <w:rPr>
          <w:rFonts w:hint="eastAsia" w:ascii="Times New Roman" w:hAnsi="Times New Roman" w:eastAsia="仿宋_GB2312"/>
          <w:sz w:val="32"/>
          <w:szCs w:val="32"/>
          <w:lang w:val="en-US" w:eastAsia="zh-CN"/>
        </w:rPr>
        <w:t xml:space="preserve"> </w:t>
      </w: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 xml:space="preserve"> </w:t>
      </w:r>
      <w:r>
        <w:rPr>
          <w:rFonts w:hint="eastAsia" w:ascii="Times New Roman" w:hAnsi="Times New Roman" w:eastAsia="仿宋_GB2312"/>
          <w:sz w:val="32"/>
          <w:szCs w:val="32"/>
        </w:rPr>
        <w:t>1</w:t>
      </w:r>
      <w:r>
        <w:rPr>
          <w:rFonts w:hint="eastAsia" w:ascii="Times New Roman" w:hAnsi="Times New Roman" w:eastAsia="仿宋_GB2312"/>
          <w:sz w:val="32"/>
          <w:szCs w:val="32"/>
          <w:lang w:val="en-US" w:eastAsia="zh-CN"/>
        </w:rPr>
        <w:t>31</w:t>
      </w:r>
      <w:r>
        <w:rPr>
          <w:rFonts w:hint="eastAsia" w:ascii="Times New Roman" w:hAnsi="Times New Roman" w:eastAsia="仿宋_GB2312"/>
          <w:sz w:val="32"/>
          <w:szCs w:val="32"/>
        </w:rPr>
        <w:t xml:space="preserve"> 号），推荐性标准，行业主管部门为</w:t>
      </w:r>
      <w:r>
        <w:rPr>
          <w:rFonts w:hint="eastAsia" w:ascii="Times New Roman" w:hAnsi="Times New Roman" w:eastAsia="仿宋_GB2312"/>
          <w:sz w:val="32"/>
          <w:szCs w:val="32"/>
          <w:lang w:val="en-US" w:eastAsia="zh-CN"/>
        </w:rPr>
        <w:t>三省一市</w:t>
      </w:r>
      <w:r>
        <w:rPr>
          <w:rFonts w:hint="eastAsia" w:ascii="Times New Roman" w:hAnsi="Times New Roman" w:eastAsia="仿宋_GB2312"/>
          <w:sz w:val="32"/>
          <w:szCs w:val="32"/>
        </w:rPr>
        <w:t>交通运输厅</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交通运输委员会）</w:t>
      </w:r>
      <w:r>
        <w:rPr>
          <w:rFonts w:hint="eastAsia" w:ascii="Times New Roman" w:hAnsi="Times New Roman" w:eastAsia="仿宋_GB2312"/>
          <w:sz w:val="32"/>
          <w:szCs w:val="32"/>
        </w:rPr>
        <w:t>。</w:t>
      </w:r>
    </w:p>
    <w:p w14:paraId="4994B0BE">
      <w:pPr>
        <w:pStyle w:val="16"/>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drawing>
          <wp:inline distT="0" distB="0" distL="114300" distR="114300">
            <wp:extent cx="4679950" cy="5365750"/>
            <wp:effectExtent l="0" t="0" r="635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4679950" cy="5365750"/>
                    </a:xfrm>
                    <a:prstGeom prst="rect">
                      <a:avLst/>
                    </a:prstGeom>
                    <a:noFill/>
                    <a:ln>
                      <a:noFill/>
                    </a:ln>
                  </pic:spPr>
                </pic:pic>
              </a:graphicData>
            </a:graphic>
          </wp:inline>
        </w:drawing>
      </w:r>
      <w:r>
        <w:rPr>
          <w:rFonts w:hint="eastAsia" w:ascii="Times New Roman" w:hAnsi="Times New Roman" w:eastAsia="仿宋_GB2312"/>
          <w:sz w:val="32"/>
          <w:szCs w:val="32"/>
        </w:rPr>
        <w:drawing>
          <wp:inline distT="0" distB="0" distL="114300" distR="114300">
            <wp:extent cx="4679950" cy="3160395"/>
            <wp:effectExtent l="0" t="0" r="6350" b="190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a:stretch>
                      <a:fillRect/>
                    </a:stretch>
                  </pic:blipFill>
                  <pic:spPr>
                    <a:xfrm>
                      <a:off x="0" y="0"/>
                      <a:ext cx="4679950" cy="3160395"/>
                    </a:xfrm>
                    <a:prstGeom prst="rect">
                      <a:avLst/>
                    </a:prstGeom>
                    <a:noFill/>
                    <a:ln>
                      <a:noFill/>
                    </a:ln>
                  </pic:spPr>
                </pic:pic>
              </a:graphicData>
            </a:graphic>
          </wp:inline>
        </w:drawing>
      </w:r>
    </w:p>
    <w:p w14:paraId="7B22E29D">
      <w:pPr>
        <w:pStyle w:val="16"/>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left"/>
        <w:textAlignment w:val="auto"/>
        <w:outlineLvl w:val="0"/>
        <w:rPr>
          <w:rFonts w:hint="eastAsia" w:ascii="黑体" w:hAnsi="黑体" w:eastAsia="黑体" w:cs="黑体"/>
          <w:b/>
          <w:bCs/>
          <w:sz w:val="32"/>
          <w:szCs w:val="32"/>
          <w:lang w:val="en-US" w:eastAsia="zh-CN"/>
        </w:rPr>
      </w:pPr>
      <w:bookmarkStart w:id="4" w:name="_Toc32267"/>
      <w:r>
        <w:rPr>
          <w:rFonts w:hint="eastAsia" w:ascii="黑体" w:hAnsi="黑体" w:eastAsia="黑体" w:cs="黑体"/>
          <w:b/>
          <w:bCs/>
          <w:kern w:val="2"/>
          <w:sz w:val="32"/>
          <w:szCs w:val="32"/>
          <w:lang w:val="en-US" w:eastAsia="zh-CN" w:bidi="ar-SA"/>
        </w:rPr>
        <w:t>三、</w:t>
      </w:r>
      <w:r>
        <w:rPr>
          <w:rFonts w:hint="eastAsia" w:ascii="黑体" w:hAnsi="黑体" w:eastAsia="黑体" w:cs="黑体"/>
          <w:b/>
          <w:bCs/>
          <w:sz w:val="32"/>
          <w:szCs w:val="32"/>
          <w:lang w:val="en-US" w:eastAsia="zh-CN"/>
        </w:rPr>
        <w:t>编制过程</w:t>
      </w:r>
      <w:bookmarkEnd w:id="4"/>
    </w:p>
    <w:p w14:paraId="161F0563">
      <w:pPr>
        <w:pStyle w:val="16"/>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outlineLvl w:val="1"/>
        <w:rPr>
          <w:rFonts w:hint="default" w:ascii="楷体_GB2312" w:hAnsi="楷体_GB2312" w:eastAsia="楷体_GB2312" w:cs="楷体_GB2312"/>
          <w:b/>
          <w:bCs/>
          <w:sz w:val="32"/>
          <w:szCs w:val="32"/>
          <w:lang w:val="en-US" w:eastAsia="zh-CN"/>
        </w:rPr>
      </w:pPr>
      <w:bookmarkStart w:id="5" w:name="_Toc14398"/>
      <w:r>
        <w:rPr>
          <w:rFonts w:hint="eastAsia" w:ascii="楷体_GB2312" w:hAnsi="楷体_GB2312" w:eastAsia="楷体_GB2312" w:cs="楷体_GB2312"/>
          <w:b/>
          <w:bCs/>
          <w:sz w:val="32"/>
          <w:szCs w:val="32"/>
          <w:lang w:val="en-US" w:eastAsia="zh-CN"/>
        </w:rPr>
        <w:t>（一）编制依据</w:t>
      </w:r>
      <w:bookmarkEnd w:id="5"/>
    </w:p>
    <w:p w14:paraId="23E7DF8A">
      <w:pPr>
        <w:pStyle w:val="16"/>
        <w:keepNext w:val="0"/>
        <w:keepLines w:val="0"/>
        <w:pageBreakBefore w:val="0"/>
        <w:widowControl w:val="0"/>
        <w:kinsoku/>
        <w:wordWrap/>
        <w:overflowPunct/>
        <w:topLinePunct w:val="0"/>
        <w:autoSpaceDE/>
        <w:autoSpaceDN/>
        <w:bidi w:val="0"/>
        <w:adjustRightInd/>
        <w:snapToGrid/>
        <w:spacing w:line="360" w:lineRule="auto"/>
        <w:ind w:left="0" w:leftChars="0" w:firstLine="640" w:firstLineChars="200"/>
        <w:jc w:val="left"/>
        <w:textAlignment w:val="auto"/>
        <w:rPr>
          <w:rFonts w:hint="default" w:ascii="Times New Roman" w:hAnsi="Times New Roman" w:eastAsia="仿宋_GB2312"/>
          <w:sz w:val="32"/>
          <w:szCs w:val="32"/>
          <w:lang w:val="en-US" w:eastAsia="zh-CN"/>
        </w:rPr>
      </w:pPr>
      <w:r>
        <w:rPr>
          <w:rFonts w:hint="default" w:ascii="Times New Roman" w:hAnsi="Times New Roman" w:eastAsia="仿宋_GB2312"/>
          <w:sz w:val="32"/>
          <w:szCs w:val="32"/>
          <w:lang w:val="en-US" w:eastAsia="zh-CN"/>
        </w:rPr>
        <w:t>本标准的编制过程中，在技术层面系统参考了现行国家、行业相关标准规范，确保标准的技术指标、试验方法、术语符号等与现行标准体系协调一致。下列文件中的内容通过文中的规范性引用而构成本文件必不可少的条款。</w:t>
      </w:r>
    </w:p>
    <w:p w14:paraId="53514506">
      <w:pPr>
        <w:pStyle w:val="16"/>
        <w:keepNext w:val="0"/>
        <w:keepLines w:val="0"/>
        <w:pageBreakBefore w:val="0"/>
        <w:widowControl w:val="0"/>
        <w:numPr>
          <w:ilvl w:val="0"/>
          <w:numId w:val="1"/>
        </w:numPr>
        <w:kinsoku/>
        <w:wordWrap/>
        <w:overflowPunct/>
        <w:topLinePunct w:val="0"/>
        <w:autoSpaceDE/>
        <w:autoSpaceDN/>
        <w:bidi w:val="0"/>
        <w:adjustRightInd/>
        <w:snapToGrid/>
        <w:spacing w:line="360" w:lineRule="auto"/>
        <w:ind w:left="170" w:leftChars="0" w:hanging="170" w:firstLineChars="0"/>
        <w:jc w:val="left"/>
        <w:textAlignment w:val="auto"/>
        <w:rPr>
          <w:rFonts w:hint="default" w:ascii="Times New Roman" w:hAnsi="Times New Roman" w:eastAsia="仿宋_GB2312"/>
          <w:b/>
          <w:bCs/>
          <w:sz w:val="32"/>
          <w:szCs w:val="32"/>
          <w:lang w:val="en-US" w:eastAsia="zh-CN"/>
        </w:rPr>
      </w:pPr>
      <w:r>
        <w:rPr>
          <w:rFonts w:hint="default" w:ascii="Times New Roman" w:hAnsi="Times New Roman" w:eastAsia="仿宋_GB2312"/>
          <w:b/>
          <w:bCs/>
          <w:sz w:val="32"/>
          <w:szCs w:val="32"/>
          <w:lang w:val="en-US" w:eastAsia="zh-CN"/>
        </w:rPr>
        <w:t>基础与通用标准</w:t>
      </w:r>
    </w:p>
    <w:p w14:paraId="437EDC06">
      <w:pPr>
        <w:pStyle w:val="16"/>
        <w:keepNext w:val="0"/>
        <w:keepLines w:val="0"/>
        <w:pageBreakBefore w:val="0"/>
        <w:widowControl w:val="0"/>
        <w:kinsoku/>
        <w:wordWrap/>
        <w:overflowPunct/>
        <w:topLinePunct w:val="0"/>
        <w:autoSpaceDE/>
        <w:autoSpaceDN/>
        <w:bidi w:val="0"/>
        <w:adjustRightInd/>
        <w:snapToGrid/>
        <w:spacing w:line="360" w:lineRule="auto"/>
        <w:ind w:left="0" w:leftChars="0" w:firstLine="640" w:firstLineChars="200"/>
        <w:jc w:val="left"/>
        <w:textAlignment w:val="auto"/>
        <w:rPr>
          <w:rFonts w:hint="default" w:ascii="Times New Roman" w:hAnsi="Times New Roman" w:eastAsia="仿宋_GB2312"/>
          <w:sz w:val="32"/>
          <w:szCs w:val="32"/>
          <w:lang w:val="en-US" w:eastAsia="zh-CN"/>
        </w:rPr>
      </w:pPr>
      <w:r>
        <w:rPr>
          <w:rFonts w:hint="default" w:ascii="Times New Roman" w:hAnsi="Times New Roman" w:eastAsia="仿宋_GB2312"/>
          <w:sz w:val="32"/>
          <w:szCs w:val="32"/>
          <w:lang w:val="en-US" w:eastAsia="zh-CN"/>
        </w:rPr>
        <w:t>GB/T 4208 外壳防护等级（IP代码）</w:t>
      </w:r>
    </w:p>
    <w:p w14:paraId="217A06FD">
      <w:pPr>
        <w:pStyle w:val="16"/>
        <w:keepNext w:val="0"/>
        <w:keepLines w:val="0"/>
        <w:pageBreakBefore w:val="0"/>
        <w:widowControl w:val="0"/>
        <w:kinsoku/>
        <w:wordWrap/>
        <w:overflowPunct/>
        <w:topLinePunct w:val="0"/>
        <w:autoSpaceDE/>
        <w:autoSpaceDN/>
        <w:bidi w:val="0"/>
        <w:adjustRightInd/>
        <w:snapToGrid/>
        <w:spacing w:line="360" w:lineRule="auto"/>
        <w:ind w:left="0" w:leftChars="0" w:firstLine="640" w:firstLineChars="200"/>
        <w:jc w:val="left"/>
        <w:textAlignment w:val="auto"/>
        <w:rPr>
          <w:rFonts w:hint="default" w:ascii="Times New Roman" w:hAnsi="Times New Roman" w:eastAsia="仿宋_GB2312"/>
          <w:sz w:val="32"/>
          <w:szCs w:val="32"/>
          <w:lang w:val="en-US" w:eastAsia="zh-CN"/>
        </w:rPr>
      </w:pPr>
      <w:r>
        <w:rPr>
          <w:rFonts w:hint="default" w:ascii="Times New Roman" w:hAnsi="Times New Roman" w:eastAsia="仿宋_GB2312"/>
          <w:sz w:val="32"/>
          <w:szCs w:val="32"/>
          <w:lang w:val="en-US" w:eastAsia="zh-CN"/>
        </w:rPr>
        <w:t>GB 50026 工程测量标准</w:t>
      </w:r>
    </w:p>
    <w:p w14:paraId="5C449894">
      <w:pPr>
        <w:pStyle w:val="16"/>
        <w:keepNext w:val="0"/>
        <w:keepLines w:val="0"/>
        <w:pageBreakBefore w:val="0"/>
        <w:widowControl w:val="0"/>
        <w:kinsoku/>
        <w:wordWrap/>
        <w:overflowPunct/>
        <w:topLinePunct w:val="0"/>
        <w:autoSpaceDE/>
        <w:autoSpaceDN/>
        <w:bidi w:val="0"/>
        <w:adjustRightInd/>
        <w:snapToGrid/>
        <w:spacing w:line="360" w:lineRule="auto"/>
        <w:ind w:left="0" w:leftChars="0" w:firstLine="640" w:firstLineChars="200"/>
        <w:jc w:val="left"/>
        <w:textAlignment w:val="auto"/>
        <w:rPr>
          <w:rFonts w:hint="default" w:ascii="Times New Roman" w:hAnsi="Times New Roman" w:eastAsia="仿宋_GB2312"/>
          <w:sz w:val="32"/>
          <w:szCs w:val="32"/>
          <w:lang w:val="en-US" w:eastAsia="zh-CN"/>
        </w:rPr>
      </w:pPr>
      <w:r>
        <w:rPr>
          <w:rFonts w:hint="default" w:ascii="Times New Roman" w:hAnsi="Times New Roman" w:eastAsia="仿宋_GB2312"/>
          <w:sz w:val="32"/>
          <w:szCs w:val="32"/>
          <w:lang w:val="en-US" w:eastAsia="zh-CN"/>
        </w:rPr>
        <w:t>JGJ 8 建筑变形测量规范</w:t>
      </w:r>
    </w:p>
    <w:p w14:paraId="55798F4E">
      <w:pPr>
        <w:pStyle w:val="16"/>
        <w:keepNext w:val="0"/>
        <w:keepLines w:val="0"/>
        <w:pageBreakBefore w:val="0"/>
        <w:widowControl w:val="0"/>
        <w:kinsoku/>
        <w:wordWrap/>
        <w:overflowPunct/>
        <w:topLinePunct w:val="0"/>
        <w:autoSpaceDE/>
        <w:autoSpaceDN/>
        <w:bidi w:val="0"/>
        <w:adjustRightInd/>
        <w:snapToGrid/>
        <w:spacing w:line="360" w:lineRule="auto"/>
        <w:ind w:left="0" w:leftChars="0" w:firstLine="640" w:firstLineChars="200"/>
        <w:jc w:val="left"/>
        <w:textAlignment w:val="auto"/>
        <w:rPr>
          <w:rFonts w:hint="default" w:ascii="Times New Roman" w:hAnsi="Times New Roman" w:eastAsia="仿宋_GB2312"/>
          <w:sz w:val="32"/>
          <w:szCs w:val="32"/>
          <w:lang w:val="en-US" w:eastAsia="zh-CN"/>
        </w:rPr>
      </w:pPr>
      <w:r>
        <w:rPr>
          <w:rFonts w:hint="default" w:ascii="Times New Roman" w:hAnsi="Times New Roman" w:eastAsia="仿宋_GB2312"/>
          <w:sz w:val="32"/>
          <w:szCs w:val="32"/>
          <w:lang w:val="en-US" w:eastAsia="zh-CN"/>
        </w:rPr>
        <w:t>JTG D30 公路路基设计规范</w:t>
      </w:r>
    </w:p>
    <w:p w14:paraId="3DECE46F">
      <w:pPr>
        <w:pStyle w:val="16"/>
        <w:keepNext w:val="0"/>
        <w:keepLines w:val="0"/>
        <w:pageBreakBefore w:val="0"/>
        <w:widowControl w:val="0"/>
        <w:numPr>
          <w:ilvl w:val="0"/>
          <w:numId w:val="1"/>
        </w:numPr>
        <w:kinsoku/>
        <w:wordWrap/>
        <w:overflowPunct/>
        <w:topLinePunct w:val="0"/>
        <w:autoSpaceDE/>
        <w:autoSpaceDN/>
        <w:bidi w:val="0"/>
        <w:adjustRightInd/>
        <w:snapToGrid/>
        <w:spacing w:line="360" w:lineRule="auto"/>
        <w:ind w:left="170" w:leftChars="0" w:hanging="170" w:firstLineChars="0"/>
        <w:jc w:val="left"/>
        <w:textAlignment w:val="auto"/>
        <w:rPr>
          <w:rFonts w:hint="default" w:ascii="Times New Roman" w:hAnsi="Times New Roman" w:eastAsia="仿宋_GB2312"/>
          <w:b/>
          <w:bCs/>
          <w:sz w:val="32"/>
          <w:szCs w:val="32"/>
          <w:lang w:val="en-US" w:eastAsia="zh-CN"/>
        </w:rPr>
      </w:pPr>
      <w:r>
        <w:rPr>
          <w:rFonts w:hint="default" w:ascii="Times New Roman" w:hAnsi="Times New Roman" w:eastAsia="仿宋_GB2312"/>
          <w:b/>
          <w:bCs/>
          <w:sz w:val="32"/>
          <w:szCs w:val="32"/>
          <w:lang w:val="en-US" w:eastAsia="zh-CN"/>
        </w:rPr>
        <w:t>监测技术与设备标准</w:t>
      </w:r>
    </w:p>
    <w:p w14:paraId="7205659E">
      <w:pPr>
        <w:pStyle w:val="16"/>
        <w:keepNext w:val="0"/>
        <w:keepLines w:val="0"/>
        <w:pageBreakBefore w:val="0"/>
        <w:widowControl w:val="0"/>
        <w:kinsoku/>
        <w:wordWrap/>
        <w:overflowPunct/>
        <w:topLinePunct w:val="0"/>
        <w:autoSpaceDE/>
        <w:autoSpaceDN/>
        <w:bidi w:val="0"/>
        <w:adjustRightInd/>
        <w:snapToGrid/>
        <w:spacing w:line="360" w:lineRule="auto"/>
        <w:ind w:left="0" w:leftChars="0" w:firstLine="640" w:firstLineChars="200"/>
        <w:jc w:val="left"/>
        <w:textAlignment w:val="auto"/>
        <w:rPr>
          <w:rFonts w:hint="default" w:ascii="Times New Roman" w:hAnsi="Times New Roman" w:eastAsia="仿宋_GB2312"/>
          <w:sz w:val="32"/>
          <w:szCs w:val="32"/>
          <w:lang w:val="en-US" w:eastAsia="zh-CN"/>
        </w:rPr>
      </w:pPr>
      <w:r>
        <w:rPr>
          <w:rFonts w:hint="default" w:ascii="Times New Roman" w:hAnsi="Times New Roman" w:eastAsia="仿宋_GB2312"/>
          <w:sz w:val="32"/>
          <w:szCs w:val="32"/>
          <w:lang w:val="en-US" w:eastAsia="zh-CN"/>
        </w:rPr>
        <w:t>GB/T 18314 全球导航卫星系统（GNSS）测量规范</w:t>
      </w:r>
    </w:p>
    <w:p w14:paraId="4CCB1BB6">
      <w:pPr>
        <w:pStyle w:val="16"/>
        <w:keepNext w:val="0"/>
        <w:keepLines w:val="0"/>
        <w:pageBreakBefore w:val="0"/>
        <w:widowControl w:val="0"/>
        <w:kinsoku/>
        <w:wordWrap/>
        <w:overflowPunct/>
        <w:topLinePunct w:val="0"/>
        <w:autoSpaceDE/>
        <w:autoSpaceDN/>
        <w:bidi w:val="0"/>
        <w:adjustRightInd/>
        <w:snapToGrid/>
        <w:spacing w:line="360" w:lineRule="auto"/>
        <w:ind w:left="0" w:leftChars="0" w:firstLine="640" w:firstLineChars="200"/>
        <w:jc w:val="left"/>
        <w:textAlignment w:val="auto"/>
        <w:rPr>
          <w:rFonts w:hint="default" w:ascii="Times New Roman" w:hAnsi="Times New Roman" w:eastAsia="仿宋_GB2312"/>
          <w:sz w:val="32"/>
          <w:szCs w:val="32"/>
          <w:lang w:val="en-US" w:eastAsia="zh-CN"/>
        </w:rPr>
      </w:pPr>
      <w:r>
        <w:rPr>
          <w:rFonts w:hint="default" w:ascii="Times New Roman" w:hAnsi="Times New Roman" w:eastAsia="仿宋_GB2312"/>
          <w:sz w:val="32"/>
          <w:szCs w:val="32"/>
          <w:lang w:val="en-US" w:eastAsia="zh-CN"/>
        </w:rPr>
        <w:t>GB 50497 建筑基坑工程监测技术标准</w:t>
      </w:r>
    </w:p>
    <w:p w14:paraId="51193D79">
      <w:pPr>
        <w:pStyle w:val="16"/>
        <w:keepNext w:val="0"/>
        <w:keepLines w:val="0"/>
        <w:pageBreakBefore w:val="0"/>
        <w:widowControl w:val="0"/>
        <w:numPr>
          <w:ilvl w:val="0"/>
          <w:numId w:val="1"/>
        </w:numPr>
        <w:kinsoku/>
        <w:wordWrap/>
        <w:overflowPunct/>
        <w:topLinePunct w:val="0"/>
        <w:autoSpaceDE/>
        <w:autoSpaceDN/>
        <w:bidi w:val="0"/>
        <w:adjustRightInd/>
        <w:snapToGrid/>
        <w:spacing w:line="360" w:lineRule="auto"/>
        <w:ind w:left="170" w:leftChars="0" w:hanging="170" w:firstLineChars="0"/>
        <w:jc w:val="left"/>
        <w:textAlignment w:val="auto"/>
        <w:rPr>
          <w:rFonts w:hint="default" w:ascii="Times New Roman" w:hAnsi="Times New Roman" w:eastAsia="仿宋_GB2312"/>
          <w:b/>
          <w:bCs/>
          <w:sz w:val="32"/>
          <w:szCs w:val="32"/>
          <w:lang w:val="en-US" w:eastAsia="zh-CN"/>
        </w:rPr>
      </w:pPr>
      <w:r>
        <w:rPr>
          <w:rFonts w:hint="default" w:ascii="Times New Roman" w:hAnsi="Times New Roman" w:eastAsia="仿宋_GB2312"/>
          <w:b/>
          <w:bCs/>
          <w:sz w:val="32"/>
          <w:szCs w:val="32"/>
          <w:lang w:val="en-US" w:eastAsia="zh-CN"/>
        </w:rPr>
        <w:t>供电与防雷标准</w:t>
      </w:r>
    </w:p>
    <w:p w14:paraId="6190410C">
      <w:pPr>
        <w:pStyle w:val="16"/>
        <w:keepNext w:val="0"/>
        <w:keepLines w:val="0"/>
        <w:pageBreakBefore w:val="0"/>
        <w:widowControl w:val="0"/>
        <w:kinsoku/>
        <w:wordWrap/>
        <w:overflowPunct/>
        <w:topLinePunct w:val="0"/>
        <w:autoSpaceDE/>
        <w:autoSpaceDN/>
        <w:bidi w:val="0"/>
        <w:adjustRightInd/>
        <w:snapToGrid/>
        <w:spacing w:line="360" w:lineRule="auto"/>
        <w:ind w:left="0" w:leftChars="0" w:firstLine="640" w:firstLineChars="200"/>
        <w:jc w:val="left"/>
        <w:textAlignment w:val="auto"/>
        <w:rPr>
          <w:rFonts w:hint="default" w:ascii="Times New Roman" w:hAnsi="Times New Roman" w:eastAsia="仿宋_GB2312"/>
          <w:sz w:val="32"/>
          <w:szCs w:val="32"/>
          <w:lang w:val="en-US" w:eastAsia="zh-CN"/>
        </w:rPr>
      </w:pPr>
      <w:r>
        <w:rPr>
          <w:rFonts w:hint="default" w:ascii="Times New Roman" w:hAnsi="Times New Roman" w:eastAsia="仿宋_GB2312"/>
          <w:sz w:val="32"/>
          <w:szCs w:val="32"/>
          <w:lang w:val="en-US" w:eastAsia="zh-CN"/>
        </w:rPr>
        <w:t>GB 50052 供配电系统设计规范</w:t>
      </w:r>
    </w:p>
    <w:p w14:paraId="4404C789">
      <w:pPr>
        <w:pStyle w:val="16"/>
        <w:keepNext w:val="0"/>
        <w:keepLines w:val="0"/>
        <w:pageBreakBefore w:val="0"/>
        <w:widowControl w:val="0"/>
        <w:kinsoku/>
        <w:wordWrap/>
        <w:overflowPunct/>
        <w:topLinePunct w:val="0"/>
        <w:autoSpaceDE/>
        <w:autoSpaceDN/>
        <w:bidi w:val="0"/>
        <w:adjustRightInd/>
        <w:snapToGrid/>
        <w:spacing w:line="360" w:lineRule="auto"/>
        <w:ind w:left="0" w:leftChars="0" w:firstLine="640" w:firstLineChars="200"/>
        <w:jc w:val="left"/>
        <w:textAlignment w:val="auto"/>
        <w:rPr>
          <w:rFonts w:hint="default" w:ascii="Times New Roman" w:hAnsi="Times New Roman" w:eastAsia="仿宋_GB2312"/>
          <w:sz w:val="32"/>
          <w:szCs w:val="32"/>
          <w:lang w:val="en-US" w:eastAsia="zh-CN"/>
        </w:rPr>
      </w:pPr>
      <w:r>
        <w:rPr>
          <w:rFonts w:hint="default" w:ascii="Times New Roman" w:hAnsi="Times New Roman" w:eastAsia="仿宋_GB2312"/>
          <w:sz w:val="32"/>
          <w:szCs w:val="32"/>
          <w:lang w:val="en-US" w:eastAsia="zh-CN"/>
        </w:rPr>
        <w:t>GB 50054 低压配电设计规范</w:t>
      </w:r>
    </w:p>
    <w:p w14:paraId="3E3D6015">
      <w:pPr>
        <w:pStyle w:val="16"/>
        <w:keepNext w:val="0"/>
        <w:keepLines w:val="0"/>
        <w:pageBreakBefore w:val="0"/>
        <w:widowControl w:val="0"/>
        <w:kinsoku/>
        <w:wordWrap/>
        <w:overflowPunct/>
        <w:topLinePunct w:val="0"/>
        <w:autoSpaceDE/>
        <w:autoSpaceDN/>
        <w:bidi w:val="0"/>
        <w:adjustRightInd/>
        <w:snapToGrid/>
        <w:spacing w:line="360" w:lineRule="auto"/>
        <w:ind w:left="0" w:leftChars="0" w:firstLine="640" w:firstLineChars="200"/>
        <w:jc w:val="left"/>
        <w:textAlignment w:val="auto"/>
        <w:rPr>
          <w:rFonts w:hint="default" w:ascii="Times New Roman" w:hAnsi="Times New Roman" w:eastAsia="仿宋_GB2312"/>
          <w:sz w:val="32"/>
          <w:szCs w:val="32"/>
          <w:lang w:val="en-US" w:eastAsia="zh-CN"/>
        </w:rPr>
      </w:pPr>
      <w:r>
        <w:rPr>
          <w:rFonts w:hint="default" w:ascii="Times New Roman" w:hAnsi="Times New Roman" w:eastAsia="仿宋_GB2312"/>
          <w:sz w:val="32"/>
          <w:szCs w:val="32"/>
          <w:lang w:val="en-US" w:eastAsia="zh-CN"/>
        </w:rPr>
        <w:t>GB 50343 建筑物电子信息系统防雷技术标准</w:t>
      </w:r>
    </w:p>
    <w:p w14:paraId="07DD9BA2">
      <w:pPr>
        <w:pStyle w:val="16"/>
        <w:keepNext w:val="0"/>
        <w:keepLines w:val="0"/>
        <w:pageBreakBefore w:val="0"/>
        <w:widowControl w:val="0"/>
        <w:kinsoku/>
        <w:wordWrap/>
        <w:overflowPunct/>
        <w:topLinePunct w:val="0"/>
        <w:autoSpaceDE/>
        <w:autoSpaceDN/>
        <w:bidi w:val="0"/>
        <w:adjustRightInd/>
        <w:snapToGrid/>
        <w:spacing w:line="360" w:lineRule="auto"/>
        <w:ind w:left="0" w:leftChars="0" w:firstLine="640" w:firstLineChars="200"/>
        <w:jc w:val="left"/>
        <w:textAlignment w:val="auto"/>
        <w:rPr>
          <w:rFonts w:hint="default" w:ascii="Times New Roman" w:hAnsi="Times New Roman" w:eastAsia="仿宋_GB2312"/>
          <w:sz w:val="32"/>
          <w:szCs w:val="32"/>
          <w:lang w:val="en-US" w:eastAsia="zh-CN"/>
        </w:rPr>
      </w:pPr>
      <w:r>
        <w:rPr>
          <w:rFonts w:hint="default" w:ascii="Times New Roman" w:hAnsi="Times New Roman" w:eastAsia="仿宋_GB2312"/>
          <w:sz w:val="32"/>
          <w:szCs w:val="32"/>
          <w:lang w:val="en-US" w:eastAsia="zh-CN"/>
        </w:rPr>
        <w:t>GB 51101 太阳能发电站支架基础技术规范</w:t>
      </w:r>
    </w:p>
    <w:p w14:paraId="54B69B20">
      <w:pPr>
        <w:pStyle w:val="16"/>
        <w:keepNext w:val="0"/>
        <w:keepLines w:val="0"/>
        <w:pageBreakBefore w:val="0"/>
        <w:widowControl w:val="0"/>
        <w:numPr>
          <w:ilvl w:val="0"/>
          <w:numId w:val="1"/>
        </w:numPr>
        <w:kinsoku/>
        <w:wordWrap/>
        <w:overflowPunct/>
        <w:topLinePunct w:val="0"/>
        <w:autoSpaceDE/>
        <w:autoSpaceDN/>
        <w:bidi w:val="0"/>
        <w:adjustRightInd/>
        <w:snapToGrid/>
        <w:spacing w:line="360" w:lineRule="auto"/>
        <w:ind w:left="170" w:leftChars="0" w:hanging="170" w:firstLineChars="0"/>
        <w:jc w:val="left"/>
        <w:textAlignment w:val="auto"/>
        <w:rPr>
          <w:rFonts w:hint="default" w:ascii="Times New Roman" w:hAnsi="Times New Roman" w:eastAsia="仿宋_GB2312"/>
          <w:b/>
          <w:bCs/>
          <w:sz w:val="32"/>
          <w:szCs w:val="32"/>
          <w:lang w:val="en-US" w:eastAsia="zh-CN"/>
        </w:rPr>
      </w:pPr>
      <w:r>
        <w:rPr>
          <w:rFonts w:hint="default" w:ascii="Times New Roman" w:hAnsi="Times New Roman" w:eastAsia="仿宋_GB2312"/>
          <w:b/>
          <w:bCs/>
          <w:sz w:val="32"/>
          <w:szCs w:val="32"/>
          <w:lang w:val="en-US" w:eastAsia="zh-CN"/>
        </w:rPr>
        <w:t>信息与网络安全标准</w:t>
      </w:r>
    </w:p>
    <w:p w14:paraId="410D5F20">
      <w:pPr>
        <w:pStyle w:val="16"/>
        <w:keepNext w:val="0"/>
        <w:keepLines w:val="0"/>
        <w:pageBreakBefore w:val="0"/>
        <w:widowControl w:val="0"/>
        <w:kinsoku/>
        <w:wordWrap/>
        <w:overflowPunct/>
        <w:topLinePunct w:val="0"/>
        <w:autoSpaceDE/>
        <w:autoSpaceDN/>
        <w:bidi w:val="0"/>
        <w:adjustRightInd/>
        <w:snapToGrid/>
        <w:spacing w:line="360" w:lineRule="auto"/>
        <w:ind w:left="0" w:leftChars="0" w:firstLine="640" w:firstLineChars="200"/>
        <w:jc w:val="left"/>
        <w:textAlignment w:val="auto"/>
        <w:rPr>
          <w:rFonts w:hint="default" w:ascii="Times New Roman" w:hAnsi="Times New Roman" w:eastAsia="仿宋_GB2312"/>
          <w:sz w:val="32"/>
          <w:szCs w:val="32"/>
          <w:lang w:val="en-US" w:eastAsia="zh-CN"/>
        </w:rPr>
      </w:pPr>
      <w:r>
        <w:rPr>
          <w:rFonts w:hint="default" w:ascii="Times New Roman" w:hAnsi="Times New Roman" w:eastAsia="仿宋_GB2312"/>
          <w:sz w:val="32"/>
          <w:szCs w:val="32"/>
          <w:lang w:val="en-US" w:eastAsia="zh-CN"/>
        </w:rPr>
        <w:t>GB/T 22239 信息安全技术 网络安全等级保护基本要求</w:t>
      </w:r>
    </w:p>
    <w:p w14:paraId="21F5C039">
      <w:pPr>
        <w:pStyle w:val="16"/>
        <w:keepNext w:val="0"/>
        <w:keepLines w:val="0"/>
        <w:pageBreakBefore w:val="0"/>
        <w:widowControl w:val="0"/>
        <w:kinsoku/>
        <w:wordWrap/>
        <w:overflowPunct/>
        <w:topLinePunct w:val="0"/>
        <w:autoSpaceDE/>
        <w:autoSpaceDN/>
        <w:bidi w:val="0"/>
        <w:adjustRightInd/>
        <w:snapToGrid/>
        <w:spacing w:line="360" w:lineRule="auto"/>
        <w:ind w:left="0" w:leftChars="0" w:firstLine="640" w:firstLineChars="200"/>
        <w:jc w:val="left"/>
        <w:textAlignment w:val="auto"/>
        <w:rPr>
          <w:rFonts w:hint="default" w:ascii="Times New Roman" w:hAnsi="Times New Roman" w:eastAsia="仿宋_GB2312"/>
          <w:sz w:val="32"/>
          <w:szCs w:val="32"/>
          <w:lang w:val="en-US" w:eastAsia="zh-CN"/>
        </w:rPr>
      </w:pPr>
      <w:r>
        <w:rPr>
          <w:rFonts w:hint="default" w:ascii="Times New Roman" w:hAnsi="Times New Roman" w:eastAsia="仿宋_GB2312"/>
          <w:sz w:val="32"/>
          <w:szCs w:val="32"/>
          <w:lang w:val="en-US" w:eastAsia="zh-CN"/>
        </w:rPr>
        <w:t>GB/T 25070 信息安全技术 网络安全等级保护安全设计技术要求</w:t>
      </w:r>
    </w:p>
    <w:p w14:paraId="416D5817">
      <w:pPr>
        <w:pStyle w:val="16"/>
        <w:keepNext w:val="0"/>
        <w:keepLines w:val="0"/>
        <w:pageBreakBefore w:val="0"/>
        <w:widowControl w:val="0"/>
        <w:numPr>
          <w:ilvl w:val="0"/>
          <w:numId w:val="1"/>
        </w:numPr>
        <w:kinsoku/>
        <w:wordWrap/>
        <w:overflowPunct/>
        <w:topLinePunct w:val="0"/>
        <w:autoSpaceDE/>
        <w:autoSpaceDN/>
        <w:bidi w:val="0"/>
        <w:adjustRightInd/>
        <w:snapToGrid/>
        <w:spacing w:line="360" w:lineRule="auto"/>
        <w:ind w:left="170" w:leftChars="0" w:hanging="170" w:firstLineChars="0"/>
        <w:jc w:val="left"/>
        <w:textAlignment w:val="auto"/>
        <w:rPr>
          <w:rFonts w:hint="default" w:ascii="Times New Roman" w:hAnsi="Times New Roman" w:eastAsia="仿宋_GB2312"/>
          <w:b/>
          <w:bCs/>
          <w:sz w:val="32"/>
          <w:szCs w:val="32"/>
          <w:lang w:val="en-US" w:eastAsia="zh-CN"/>
        </w:rPr>
      </w:pPr>
      <w:r>
        <w:rPr>
          <w:rFonts w:hint="default" w:ascii="Times New Roman" w:hAnsi="Times New Roman" w:eastAsia="仿宋_GB2312"/>
          <w:b/>
          <w:bCs/>
          <w:sz w:val="32"/>
          <w:szCs w:val="32"/>
          <w:lang w:val="en-US" w:eastAsia="zh-CN"/>
        </w:rPr>
        <w:t>气象与环境标准</w:t>
      </w:r>
    </w:p>
    <w:p w14:paraId="4B024E59">
      <w:pPr>
        <w:pStyle w:val="16"/>
        <w:keepNext w:val="0"/>
        <w:keepLines w:val="0"/>
        <w:pageBreakBefore w:val="0"/>
        <w:widowControl w:val="0"/>
        <w:kinsoku/>
        <w:wordWrap/>
        <w:overflowPunct/>
        <w:topLinePunct w:val="0"/>
        <w:autoSpaceDE/>
        <w:autoSpaceDN/>
        <w:bidi w:val="0"/>
        <w:adjustRightInd/>
        <w:snapToGrid/>
        <w:spacing w:line="360" w:lineRule="auto"/>
        <w:ind w:left="0" w:leftChars="0" w:firstLine="640" w:firstLineChars="200"/>
        <w:jc w:val="left"/>
        <w:textAlignment w:val="auto"/>
        <w:rPr>
          <w:rFonts w:hint="default" w:ascii="Times New Roman" w:hAnsi="Times New Roman" w:eastAsia="仿宋_GB2312"/>
          <w:sz w:val="32"/>
          <w:szCs w:val="32"/>
          <w:lang w:val="en-US" w:eastAsia="zh-CN"/>
        </w:rPr>
      </w:pPr>
      <w:r>
        <w:rPr>
          <w:rFonts w:hint="default" w:ascii="Times New Roman" w:hAnsi="Times New Roman" w:eastAsia="仿宋_GB2312"/>
          <w:sz w:val="32"/>
          <w:szCs w:val="32"/>
          <w:lang w:val="en-US" w:eastAsia="zh-CN"/>
        </w:rPr>
        <w:t>GB/T 35228 地面气象观测规范 降水量</w:t>
      </w:r>
    </w:p>
    <w:p w14:paraId="249CF3F8">
      <w:pPr>
        <w:pStyle w:val="16"/>
        <w:keepNext w:val="0"/>
        <w:keepLines w:val="0"/>
        <w:pageBreakBefore w:val="0"/>
        <w:widowControl w:val="0"/>
        <w:kinsoku/>
        <w:wordWrap/>
        <w:overflowPunct/>
        <w:topLinePunct w:val="0"/>
        <w:autoSpaceDE/>
        <w:autoSpaceDN/>
        <w:bidi w:val="0"/>
        <w:adjustRightInd/>
        <w:snapToGrid/>
        <w:spacing w:line="360" w:lineRule="auto"/>
        <w:ind w:left="0" w:leftChars="0" w:firstLine="640" w:firstLineChars="200"/>
        <w:jc w:val="left"/>
        <w:textAlignment w:val="auto"/>
        <w:rPr>
          <w:rFonts w:hint="default" w:ascii="Times New Roman" w:hAnsi="Times New Roman" w:eastAsia="仿宋_GB2312"/>
          <w:sz w:val="32"/>
          <w:szCs w:val="32"/>
          <w:lang w:val="en-US" w:eastAsia="zh-CN"/>
        </w:rPr>
      </w:pPr>
      <w:r>
        <w:rPr>
          <w:rFonts w:hint="default" w:ascii="Times New Roman" w:hAnsi="Times New Roman" w:eastAsia="仿宋_GB2312"/>
          <w:sz w:val="32"/>
          <w:szCs w:val="32"/>
          <w:lang w:val="en-US" w:eastAsia="zh-CN"/>
        </w:rPr>
        <w:t>以上引用文件分别从工程测量、变形监测、供电防雷、网络安全、气象观测及公路路基设计等方面为本标准的制定提供了技术基础。本标准在上述引用文件的基础上，结合公路边坡自动化监测的特点和长三角区域的实际需求，进行了针对性的细化和补充规定。</w:t>
      </w:r>
    </w:p>
    <w:p w14:paraId="0934E674">
      <w:pPr>
        <w:pStyle w:val="16"/>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outlineLvl w:val="1"/>
        <w:rPr>
          <w:rFonts w:hint="default" w:ascii="楷体_GB2312" w:hAnsi="楷体_GB2312" w:eastAsia="楷体_GB2312" w:cs="楷体_GB2312"/>
          <w:b/>
          <w:bCs/>
          <w:sz w:val="32"/>
          <w:szCs w:val="32"/>
          <w:lang w:val="en-US" w:eastAsia="zh-CN"/>
        </w:rPr>
      </w:pPr>
      <w:bookmarkStart w:id="6" w:name="_Toc24899"/>
      <w:r>
        <w:rPr>
          <w:rFonts w:hint="eastAsia" w:ascii="楷体_GB2312" w:hAnsi="楷体_GB2312" w:eastAsia="楷体_GB2312" w:cs="楷体_GB2312"/>
          <w:b/>
          <w:bCs/>
          <w:sz w:val="32"/>
          <w:szCs w:val="32"/>
          <w:lang w:val="en-US" w:eastAsia="zh-CN"/>
        </w:rPr>
        <w:t>（二）工作简况</w:t>
      </w:r>
      <w:bookmarkEnd w:id="6"/>
    </w:p>
    <w:p w14:paraId="0188926A">
      <w:pPr>
        <w:pStyle w:val="16"/>
        <w:keepNext w:val="0"/>
        <w:keepLines w:val="0"/>
        <w:pageBreakBefore w:val="0"/>
        <w:widowControl w:val="0"/>
        <w:kinsoku/>
        <w:wordWrap/>
        <w:overflowPunct/>
        <w:topLinePunct w:val="0"/>
        <w:autoSpaceDE/>
        <w:autoSpaceDN/>
        <w:bidi w:val="0"/>
        <w:adjustRightInd/>
        <w:snapToGrid/>
        <w:spacing w:line="360" w:lineRule="auto"/>
        <w:ind w:left="0" w:leftChars="0"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自2024年7月启动以来，本标准编制工作严格遵循地方标准制定程序，秉持科学、严谨、务实的原则，历经前期准备、立项申报、调研起草、修改完善等多个关键阶段，现已形成标准征求意见稿。具体编制过程如下：</w:t>
      </w:r>
    </w:p>
    <w:p w14:paraId="1F265152">
      <w:pPr>
        <w:pStyle w:val="16"/>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643" w:firstLineChars="200"/>
        <w:jc w:val="left"/>
        <w:textAlignment w:val="auto"/>
        <w:outlineLvl w:val="2"/>
        <w:rPr>
          <w:rFonts w:hint="eastAsia" w:ascii="Times New Roman" w:hAnsi="Times New Roman" w:eastAsia="仿宋_GB2312" w:cstheme="minorBidi"/>
          <w:b/>
          <w:bCs/>
          <w:kern w:val="2"/>
          <w:sz w:val="32"/>
          <w:szCs w:val="32"/>
          <w:lang w:val="en-US" w:eastAsia="zh-CN" w:bidi="ar-SA"/>
        </w:rPr>
      </w:pPr>
      <w:r>
        <w:rPr>
          <w:rFonts w:hint="eastAsia" w:ascii="Times New Roman" w:hAnsi="Times New Roman" w:eastAsia="仿宋_GB2312" w:cstheme="minorBidi"/>
          <w:b/>
          <w:bCs/>
          <w:kern w:val="2"/>
          <w:sz w:val="32"/>
          <w:szCs w:val="32"/>
          <w:lang w:val="en-US" w:eastAsia="zh-CN" w:bidi="ar-SA"/>
        </w:rPr>
        <w:t>1.筹备与立项阶段</w:t>
      </w:r>
    </w:p>
    <w:p w14:paraId="0680BBC9">
      <w:pPr>
        <w:pStyle w:val="16"/>
        <w:keepNext w:val="0"/>
        <w:keepLines w:val="0"/>
        <w:pageBreakBefore w:val="0"/>
        <w:widowControl w:val="0"/>
        <w:numPr>
          <w:ilvl w:val="0"/>
          <w:numId w:val="1"/>
        </w:numPr>
        <w:kinsoku/>
        <w:wordWrap/>
        <w:overflowPunct/>
        <w:topLinePunct w:val="0"/>
        <w:autoSpaceDE/>
        <w:autoSpaceDN/>
        <w:bidi w:val="0"/>
        <w:adjustRightInd/>
        <w:snapToGrid/>
        <w:spacing w:line="360" w:lineRule="auto"/>
        <w:ind w:left="170" w:leftChars="0" w:hanging="170" w:firstLineChars="0"/>
        <w:jc w:val="left"/>
        <w:textAlignment w:val="auto"/>
        <w:rPr>
          <w:rFonts w:hint="eastAsia" w:ascii="Times New Roman" w:hAnsi="Times New Roman" w:eastAsia="仿宋_GB2312"/>
          <w:b w:val="0"/>
          <w:bCs w:val="0"/>
          <w:sz w:val="32"/>
          <w:szCs w:val="32"/>
          <w:lang w:val="en-US" w:eastAsia="zh-CN"/>
        </w:rPr>
      </w:pPr>
      <w:r>
        <w:rPr>
          <w:rFonts w:hint="eastAsia" w:ascii="Times New Roman" w:hAnsi="Times New Roman" w:eastAsia="仿宋_GB2312"/>
          <w:b/>
          <w:bCs/>
          <w:sz w:val="32"/>
          <w:szCs w:val="32"/>
          <w:lang w:val="en-US" w:eastAsia="zh-CN"/>
        </w:rPr>
        <w:t>组建团队与前期准备‍：</w:t>
      </w:r>
      <w:r>
        <w:rPr>
          <w:rFonts w:hint="eastAsia" w:ascii="Times New Roman" w:hAnsi="Times New Roman" w:eastAsia="仿宋_GB2312"/>
          <w:b w:val="0"/>
          <w:bCs w:val="0"/>
          <w:sz w:val="32"/>
          <w:szCs w:val="32"/>
          <w:lang w:val="en-US" w:eastAsia="zh-CN"/>
        </w:rPr>
        <w:t>成立标准编制专项工作组，明确了技术负责人、执笔人及参编单位分工。工作组系统收集、研究了国家、行业相关技术规范、科研成果及国内外先进实践经验，完成了标准制定的必要性、可行性分析及申报材料初稿撰写。</w:t>
      </w:r>
    </w:p>
    <w:p w14:paraId="1F76A4E1">
      <w:pPr>
        <w:pStyle w:val="16"/>
        <w:keepNext w:val="0"/>
        <w:keepLines w:val="0"/>
        <w:pageBreakBefore w:val="0"/>
        <w:widowControl w:val="0"/>
        <w:numPr>
          <w:ilvl w:val="0"/>
          <w:numId w:val="1"/>
        </w:numPr>
        <w:kinsoku/>
        <w:wordWrap/>
        <w:overflowPunct/>
        <w:topLinePunct w:val="0"/>
        <w:autoSpaceDE/>
        <w:autoSpaceDN/>
        <w:bidi w:val="0"/>
        <w:adjustRightInd/>
        <w:snapToGrid/>
        <w:spacing w:line="360" w:lineRule="auto"/>
        <w:ind w:left="170" w:leftChars="0" w:hanging="170" w:firstLineChars="0"/>
        <w:jc w:val="left"/>
        <w:textAlignment w:val="auto"/>
        <w:rPr>
          <w:rFonts w:hint="eastAsia" w:ascii="Times New Roman" w:hAnsi="Times New Roman" w:eastAsia="仿宋_GB2312"/>
          <w:b w:val="0"/>
          <w:bCs w:val="0"/>
          <w:sz w:val="32"/>
          <w:szCs w:val="32"/>
          <w:lang w:val="en-US" w:eastAsia="zh-CN"/>
        </w:rPr>
      </w:pPr>
      <w:r>
        <w:rPr>
          <w:rFonts w:hint="eastAsia" w:ascii="Times New Roman" w:hAnsi="Times New Roman" w:eastAsia="仿宋_GB2312"/>
          <w:b/>
          <w:bCs/>
          <w:sz w:val="32"/>
          <w:szCs w:val="32"/>
          <w:lang w:val="en-US" w:eastAsia="zh-CN"/>
        </w:rPr>
        <w:t>正式申报与意见反馈‍：</w:t>
      </w:r>
      <w:r>
        <w:rPr>
          <w:rFonts w:hint="eastAsia" w:ascii="Times New Roman" w:hAnsi="Times New Roman" w:eastAsia="仿宋_GB2312"/>
          <w:b w:val="0"/>
          <w:bCs w:val="0"/>
          <w:sz w:val="32"/>
          <w:szCs w:val="32"/>
          <w:lang w:val="en-US" w:eastAsia="zh-CN"/>
        </w:rPr>
        <w:t>于2024年8月正式向主管部门提交立项申请。同年10月，针对标准归口单位或专家提出的立项初审意见，编制组进行了认真研究和逐条书面反馈，进一步明确了标准的定位、范围和核心框架。</w:t>
      </w:r>
    </w:p>
    <w:p w14:paraId="2E3722BE">
      <w:pPr>
        <w:pStyle w:val="16"/>
        <w:keepNext w:val="0"/>
        <w:keepLines w:val="0"/>
        <w:pageBreakBefore w:val="0"/>
        <w:widowControl w:val="0"/>
        <w:numPr>
          <w:ilvl w:val="0"/>
          <w:numId w:val="1"/>
        </w:numPr>
        <w:kinsoku/>
        <w:wordWrap/>
        <w:overflowPunct/>
        <w:topLinePunct w:val="0"/>
        <w:autoSpaceDE/>
        <w:autoSpaceDN/>
        <w:bidi w:val="0"/>
        <w:adjustRightInd/>
        <w:snapToGrid/>
        <w:spacing w:line="360" w:lineRule="auto"/>
        <w:ind w:left="170" w:leftChars="0" w:hanging="170" w:firstLineChars="0"/>
        <w:jc w:val="left"/>
        <w:textAlignment w:val="auto"/>
        <w:rPr>
          <w:rFonts w:hint="eastAsia" w:ascii="Times New Roman" w:hAnsi="Times New Roman" w:eastAsia="仿宋_GB2312"/>
          <w:b w:val="0"/>
          <w:bCs w:val="0"/>
          <w:sz w:val="32"/>
          <w:szCs w:val="32"/>
          <w:lang w:val="en-US" w:eastAsia="zh-CN"/>
        </w:rPr>
      </w:pPr>
      <w:r>
        <w:rPr>
          <w:rFonts w:hint="eastAsia" w:ascii="Times New Roman" w:hAnsi="Times New Roman" w:eastAsia="仿宋_GB2312"/>
          <w:b/>
          <w:bCs/>
          <w:sz w:val="32"/>
          <w:szCs w:val="32"/>
          <w:lang w:val="en-US" w:eastAsia="zh-CN"/>
        </w:rPr>
        <w:t>立项答辩与获批‍：</w:t>
      </w:r>
      <w:r>
        <w:rPr>
          <w:rFonts w:hint="eastAsia" w:ascii="Times New Roman" w:hAnsi="Times New Roman" w:eastAsia="仿宋_GB2312"/>
          <w:b w:val="0"/>
          <w:bCs w:val="0"/>
          <w:sz w:val="32"/>
          <w:szCs w:val="32"/>
          <w:lang w:val="en-US" w:eastAsia="zh-CN"/>
        </w:rPr>
        <w:t>2025年6月，编制组核心成员参加了立项现场答辩，就标准制定的紧迫性、技术路线、预期效益等向评审专家进行了详细汇报并回答了质询。最终，标准于2025年8月正式获得立项批复。</w:t>
      </w:r>
    </w:p>
    <w:p w14:paraId="1EE13122">
      <w:pPr>
        <w:pStyle w:val="16"/>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643" w:firstLineChars="200"/>
        <w:jc w:val="left"/>
        <w:textAlignment w:val="auto"/>
        <w:outlineLvl w:val="2"/>
        <w:rPr>
          <w:rFonts w:hint="eastAsia" w:ascii="Times New Roman" w:hAnsi="Times New Roman" w:eastAsia="仿宋_GB2312" w:cstheme="minorBidi"/>
          <w:b/>
          <w:bCs/>
          <w:kern w:val="2"/>
          <w:sz w:val="32"/>
          <w:szCs w:val="32"/>
          <w:lang w:val="en-US" w:eastAsia="zh-CN" w:bidi="ar-SA"/>
        </w:rPr>
      </w:pPr>
      <w:r>
        <w:rPr>
          <w:rFonts w:hint="eastAsia" w:ascii="Times New Roman" w:hAnsi="Times New Roman" w:eastAsia="仿宋_GB2312" w:cstheme="minorBidi"/>
          <w:b/>
          <w:bCs/>
          <w:kern w:val="2"/>
          <w:sz w:val="32"/>
          <w:szCs w:val="32"/>
          <w:lang w:val="en-US" w:eastAsia="zh-CN" w:bidi="ar-SA"/>
        </w:rPr>
        <w:t>2.调研与草案形成阶段</w:t>
      </w:r>
    </w:p>
    <w:p w14:paraId="65001838">
      <w:pPr>
        <w:pStyle w:val="16"/>
        <w:keepNext w:val="0"/>
        <w:keepLines w:val="0"/>
        <w:pageBreakBefore w:val="0"/>
        <w:widowControl w:val="0"/>
        <w:numPr>
          <w:ilvl w:val="0"/>
          <w:numId w:val="1"/>
        </w:numPr>
        <w:kinsoku/>
        <w:wordWrap/>
        <w:overflowPunct/>
        <w:topLinePunct w:val="0"/>
        <w:autoSpaceDE/>
        <w:autoSpaceDN/>
        <w:bidi w:val="0"/>
        <w:adjustRightInd/>
        <w:snapToGrid/>
        <w:spacing w:line="360" w:lineRule="auto"/>
        <w:ind w:left="170" w:leftChars="0" w:hanging="170" w:firstLineChars="0"/>
        <w:jc w:val="left"/>
        <w:textAlignment w:val="auto"/>
        <w:rPr>
          <w:rFonts w:hint="eastAsia" w:ascii="Times New Roman" w:hAnsi="Times New Roman" w:eastAsia="仿宋_GB2312"/>
          <w:b w:val="0"/>
          <w:bCs w:val="0"/>
          <w:sz w:val="32"/>
          <w:szCs w:val="32"/>
          <w:lang w:val="en-US" w:eastAsia="zh-CN"/>
        </w:rPr>
      </w:pPr>
      <w:r>
        <w:rPr>
          <w:rFonts w:hint="eastAsia" w:ascii="Times New Roman" w:hAnsi="Times New Roman" w:eastAsia="仿宋_GB2312"/>
          <w:sz w:val="32"/>
          <w:szCs w:val="32"/>
        </w:rPr>
        <w:t></w:t>
      </w:r>
      <w:r>
        <w:rPr>
          <w:rFonts w:hint="eastAsia" w:ascii="Times New Roman" w:hAnsi="Times New Roman" w:eastAsia="仿宋_GB2312"/>
          <w:b/>
          <w:bCs/>
          <w:sz w:val="32"/>
          <w:szCs w:val="32"/>
          <w:lang w:val="en-US" w:eastAsia="zh-CN"/>
        </w:rPr>
        <w:t>深度资料调研：</w:t>
      </w:r>
      <w:r>
        <w:rPr>
          <w:rFonts w:hint="eastAsia" w:ascii="Times New Roman" w:hAnsi="Times New Roman" w:eastAsia="仿宋_GB2312"/>
          <w:b w:val="0"/>
          <w:bCs w:val="0"/>
          <w:sz w:val="32"/>
          <w:szCs w:val="32"/>
          <w:lang w:val="en-US" w:eastAsia="zh-CN"/>
        </w:rPr>
        <w:t>编制组系统梳理了边坡工程监测预警技术方面的最新标准、学术文献及技术报告，确保标准技术条款具有先进性和理论支撑。</w:t>
      </w:r>
    </w:p>
    <w:p w14:paraId="7C038104">
      <w:pPr>
        <w:pStyle w:val="16"/>
        <w:keepNext w:val="0"/>
        <w:keepLines w:val="0"/>
        <w:pageBreakBefore w:val="0"/>
        <w:widowControl w:val="0"/>
        <w:numPr>
          <w:ilvl w:val="0"/>
          <w:numId w:val="1"/>
        </w:numPr>
        <w:kinsoku/>
        <w:wordWrap/>
        <w:overflowPunct/>
        <w:topLinePunct w:val="0"/>
        <w:autoSpaceDE/>
        <w:autoSpaceDN/>
        <w:bidi w:val="0"/>
        <w:adjustRightInd/>
        <w:snapToGrid/>
        <w:spacing w:line="360" w:lineRule="auto"/>
        <w:ind w:left="170" w:leftChars="0" w:hanging="170" w:firstLineChars="0"/>
        <w:jc w:val="left"/>
        <w:textAlignment w:val="auto"/>
        <w:rPr>
          <w:rFonts w:hint="eastAsia" w:ascii="Times New Roman" w:hAnsi="Times New Roman" w:eastAsia="仿宋_GB2312"/>
          <w:b w:val="0"/>
          <w:bCs w:val="0"/>
          <w:sz w:val="32"/>
          <w:szCs w:val="32"/>
          <w:lang w:val="en-US" w:eastAsia="zh-CN"/>
        </w:rPr>
      </w:pPr>
      <w:r>
        <w:rPr>
          <w:rFonts w:hint="eastAsia" w:ascii="Times New Roman" w:hAnsi="Times New Roman" w:eastAsia="仿宋_GB2312"/>
          <w:b/>
          <w:bCs/>
          <w:sz w:val="32"/>
          <w:szCs w:val="32"/>
          <w:lang w:val="en-US" w:eastAsia="zh-CN"/>
        </w:rPr>
        <w:t>广泛工程调研：</w:t>
      </w:r>
      <w:r>
        <w:rPr>
          <w:rFonts w:hint="eastAsia" w:ascii="Times New Roman" w:hAnsi="Times New Roman" w:eastAsia="仿宋_GB2312"/>
          <w:b w:val="0"/>
          <w:bCs w:val="0"/>
          <w:sz w:val="32"/>
          <w:szCs w:val="32"/>
          <w:lang w:val="en-US" w:eastAsia="zh-CN"/>
        </w:rPr>
        <w:t>选取了长三角区域多个具有代表性的在建与运营期边坡工程（G0321德上高速池祁段K57高边坡、G4211宁芜高速钟山特殊土边坡、杭州市桐庐县某公路K3+290—K3+330 左侧边坡等）进行实地调研。通过现场考察、与监测单位及养护管理部门座谈，深入了解了当前自动化监测技术的实际应用水平、设备选型、安装维护难点、数据应用瓶颈及工程实际需求，为标准条款的实用性和可操作性积累了第一手资料。</w:t>
      </w:r>
    </w:p>
    <w:p w14:paraId="7E92A701">
      <w:pPr>
        <w:pStyle w:val="16"/>
        <w:keepNext w:val="0"/>
        <w:keepLines w:val="0"/>
        <w:pageBreakBefore w:val="0"/>
        <w:widowControl w:val="0"/>
        <w:numPr>
          <w:ilvl w:val="0"/>
          <w:numId w:val="1"/>
        </w:numPr>
        <w:kinsoku/>
        <w:wordWrap/>
        <w:overflowPunct/>
        <w:topLinePunct w:val="0"/>
        <w:autoSpaceDE/>
        <w:autoSpaceDN/>
        <w:bidi w:val="0"/>
        <w:adjustRightInd/>
        <w:snapToGrid/>
        <w:spacing w:line="360" w:lineRule="auto"/>
        <w:ind w:left="170" w:leftChars="0" w:hanging="170" w:firstLineChars="0"/>
        <w:jc w:val="left"/>
        <w:textAlignment w:val="auto"/>
        <w:rPr>
          <w:rFonts w:hint="eastAsia" w:ascii="Times New Roman" w:hAnsi="Times New Roman" w:eastAsia="仿宋_GB2312"/>
          <w:b w:val="0"/>
          <w:bCs w:val="0"/>
          <w:sz w:val="32"/>
          <w:szCs w:val="32"/>
          <w:lang w:val="en-US" w:eastAsia="zh-CN"/>
        </w:rPr>
      </w:pPr>
      <w:r>
        <w:rPr>
          <w:rFonts w:hint="eastAsia" w:ascii="Times New Roman" w:hAnsi="Times New Roman" w:eastAsia="仿宋_GB2312"/>
          <w:b/>
          <w:bCs/>
          <w:sz w:val="32"/>
          <w:szCs w:val="32"/>
          <w:lang w:val="en-US" w:eastAsia="zh-CN"/>
        </w:rPr>
        <w:t>草案修改与内审：</w:t>
      </w:r>
      <w:r>
        <w:rPr>
          <w:rFonts w:hint="eastAsia" w:ascii="Times New Roman" w:hAnsi="Times New Roman" w:eastAsia="仿宋_GB2312"/>
          <w:b w:val="0"/>
          <w:bCs w:val="0"/>
          <w:sz w:val="32"/>
          <w:szCs w:val="32"/>
          <w:lang w:val="en-US" w:eastAsia="zh-CN"/>
        </w:rPr>
        <w:t>在充分调研基础上，编制组对申报阶段递交的标准草案进行了修改。并于2025年12月19日组织编制组对草案进行了内部审查。内审重点聚焦于标准结构的合理性、技术要求的科学性、术语定义的准确性以及与本地区工程实践的契合度，并根据审查意见对草案进行了反复修改和完善。</w:t>
      </w:r>
    </w:p>
    <w:p w14:paraId="078A88F1">
      <w:pPr>
        <w:pStyle w:val="16"/>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643" w:firstLineChars="200"/>
        <w:jc w:val="left"/>
        <w:textAlignment w:val="auto"/>
        <w:outlineLvl w:val="2"/>
        <w:rPr>
          <w:rFonts w:hint="eastAsia" w:ascii="Times New Roman" w:hAnsi="Times New Roman" w:eastAsia="仿宋_GB2312" w:cstheme="minorBidi"/>
          <w:b/>
          <w:bCs/>
          <w:kern w:val="2"/>
          <w:sz w:val="32"/>
          <w:szCs w:val="32"/>
          <w:lang w:val="en-US" w:eastAsia="zh-CN" w:bidi="ar-SA"/>
        </w:rPr>
      </w:pPr>
      <w:r>
        <w:rPr>
          <w:rFonts w:hint="eastAsia" w:ascii="Times New Roman" w:hAnsi="Times New Roman" w:eastAsia="仿宋_GB2312" w:cstheme="minorBidi"/>
          <w:b/>
          <w:bCs/>
          <w:kern w:val="2"/>
          <w:sz w:val="32"/>
          <w:szCs w:val="32"/>
          <w:lang w:val="en-US" w:eastAsia="zh-CN" w:bidi="ar-SA"/>
        </w:rPr>
        <w:t>3.修改与征求意见稿形成阶段‍</w:t>
      </w:r>
    </w:p>
    <w:p w14:paraId="59688F8C">
      <w:pPr>
        <w:pStyle w:val="16"/>
        <w:keepNext w:val="0"/>
        <w:keepLines w:val="0"/>
        <w:pageBreakBefore w:val="0"/>
        <w:widowControl w:val="0"/>
        <w:numPr>
          <w:ilvl w:val="0"/>
          <w:numId w:val="1"/>
        </w:numPr>
        <w:kinsoku/>
        <w:wordWrap/>
        <w:overflowPunct/>
        <w:topLinePunct w:val="0"/>
        <w:autoSpaceDE/>
        <w:autoSpaceDN/>
        <w:bidi w:val="0"/>
        <w:adjustRightInd/>
        <w:snapToGrid/>
        <w:spacing w:line="360" w:lineRule="auto"/>
        <w:ind w:left="170" w:leftChars="0" w:hanging="170" w:firstLineChars="0"/>
        <w:jc w:val="left"/>
        <w:textAlignment w:val="auto"/>
        <w:rPr>
          <w:rFonts w:hint="eastAsia" w:ascii="Times New Roman" w:hAnsi="Times New Roman" w:eastAsia="仿宋_GB2312"/>
          <w:b w:val="0"/>
          <w:bCs w:val="0"/>
          <w:sz w:val="32"/>
          <w:szCs w:val="32"/>
          <w:lang w:val="en-US" w:eastAsia="zh-CN"/>
        </w:rPr>
      </w:pPr>
      <w:r>
        <w:rPr>
          <w:rFonts w:hint="eastAsia" w:ascii="Times New Roman" w:hAnsi="Times New Roman" w:eastAsia="仿宋_GB2312"/>
          <w:b/>
          <w:bCs/>
          <w:sz w:val="32"/>
          <w:szCs w:val="32"/>
          <w:lang w:val="en-US" w:eastAsia="zh-CN"/>
        </w:rPr>
        <w:t>集中修改与完善：</w:t>
      </w:r>
      <w:r>
        <w:rPr>
          <w:rFonts w:hint="eastAsia" w:ascii="Times New Roman" w:hAnsi="Times New Roman" w:eastAsia="仿宋_GB2312"/>
          <w:b w:val="0"/>
          <w:bCs w:val="0"/>
          <w:sz w:val="32"/>
          <w:szCs w:val="32"/>
          <w:lang w:val="en-US" w:eastAsia="zh-CN"/>
        </w:rPr>
        <w:t>基于草案内审阶段收集的意见，编制组召开了多次专题研讨会，对标准文本进行了系统性修改和精练，重点优化了监测精度要求、监测内容选择、监测点位布设、监测设备选型、预警指标等核心技术要求。</w:t>
      </w:r>
    </w:p>
    <w:p w14:paraId="4D739DDA">
      <w:pPr>
        <w:pStyle w:val="16"/>
        <w:keepNext w:val="0"/>
        <w:keepLines w:val="0"/>
        <w:pageBreakBefore w:val="0"/>
        <w:widowControl w:val="0"/>
        <w:numPr>
          <w:ilvl w:val="0"/>
          <w:numId w:val="1"/>
        </w:numPr>
        <w:kinsoku/>
        <w:wordWrap/>
        <w:overflowPunct/>
        <w:topLinePunct w:val="0"/>
        <w:autoSpaceDE/>
        <w:autoSpaceDN/>
        <w:bidi w:val="0"/>
        <w:adjustRightInd/>
        <w:snapToGrid/>
        <w:spacing w:line="360" w:lineRule="auto"/>
        <w:ind w:left="170" w:leftChars="0" w:hanging="170" w:firstLineChars="0"/>
        <w:jc w:val="left"/>
        <w:textAlignment w:val="auto"/>
        <w:rPr>
          <w:rFonts w:hint="eastAsia" w:ascii="Times New Roman" w:hAnsi="Times New Roman" w:eastAsia="仿宋_GB2312"/>
          <w:b w:val="0"/>
          <w:bCs w:val="0"/>
          <w:sz w:val="32"/>
          <w:szCs w:val="32"/>
          <w:lang w:val="en-US" w:eastAsia="zh-CN"/>
        </w:rPr>
      </w:pPr>
      <w:r>
        <w:rPr>
          <w:rFonts w:hint="eastAsia" w:ascii="Times New Roman" w:hAnsi="Times New Roman" w:eastAsia="仿宋_GB2312"/>
          <w:b/>
          <w:bCs/>
          <w:sz w:val="32"/>
          <w:szCs w:val="32"/>
          <w:lang w:val="en-US" w:eastAsia="zh-CN"/>
        </w:rPr>
        <w:t>内部征求意见：</w:t>
      </w:r>
      <w:r>
        <w:rPr>
          <w:rFonts w:hint="eastAsia" w:ascii="Times New Roman" w:hAnsi="Times New Roman" w:eastAsia="仿宋_GB2312"/>
          <w:b w:val="0"/>
          <w:bCs w:val="0"/>
          <w:sz w:val="32"/>
          <w:szCs w:val="32"/>
          <w:lang w:val="en-US" w:eastAsia="zh-CN"/>
        </w:rPr>
        <w:t>在形成相对成熟的草案后，编制组将文本发送至各参编单位及相关技术支持单位，进行定向的内部征求意见。共收到涵盖术语、监测频率与期限、预警机制设置、边坡监测等级与风险等级、新技术应用等方面44条修改建议，编制组逐条讨论、吸收采纳，形成了修改汇总说明。</w:t>
      </w:r>
    </w:p>
    <w:p w14:paraId="0F841A02">
      <w:pPr>
        <w:pStyle w:val="16"/>
        <w:keepNext w:val="0"/>
        <w:keepLines w:val="0"/>
        <w:pageBreakBefore w:val="0"/>
        <w:widowControl w:val="0"/>
        <w:numPr>
          <w:ilvl w:val="0"/>
          <w:numId w:val="1"/>
        </w:numPr>
        <w:kinsoku/>
        <w:wordWrap/>
        <w:overflowPunct/>
        <w:topLinePunct w:val="0"/>
        <w:autoSpaceDE/>
        <w:autoSpaceDN/>
        <w:bidi w:val="0"/>
        <w:adjustRightInd/>
        <w:snapToGrid/>
        <w:spacing w:line="360" w:lineRule="auto"/>
        <w:ind w:left="170" w:leftChars="0" w:hanging="170" w:firstLineChars="0"/>
        <w:jc w:val="left"/>
        <w:textAlignment w:val="auto"/>
        <w:rPr>
          <w:rFonts w:hint="default" w:ascii="Times New Roman" w:hAnsi="Times New Roman" w:eastAsia="仿宋_GB2312"/>
          <w:sz w:val="32"/>
          <w:szCs w:val="32"/>
          <w:lang w:val="en-US" w:eastAsia="zh-CN"/>
        </w:rPr>
      </w:pPr>
      <w:r>
        <w:rPr>
          <w:rFonts w:hint="eastAsia" w:ascii="Times New Roman" w:hAnsi="Times New Roman" w:eastAsia="仿宋_GB2312"/>
          <w:b/>
          <w:bCs/>
          <w:sz w:val="32"/>
          <w:szCs w:val="32"/>
          <w:lang w:val="en-US" w:eastAsia="zh-CN"/>
        </w:rPr>
        <w:t>大纲评审与定稿：</w:t>
      </w:r>
      <w:r>
        <w:rPr>
          <w:rFonts w:hint="eastAsia" w:ascii="Times New Roman" w:hAnsi="Times New Roman" w:eastAsia="仿宋_GB2312"/>
          <w:b w:val="0"/>
          <w:bCs w:val="0"/>
          <w:sz w:val="32"/>
          <w:szCs w:val="32"/>
          <w:lang w:val="en-US" w:eastAsia="zh-CN"/>
        </w:rPr>
        <w:t>2026年4月3日，编制组组织了标准大纲专家评审会，邀请边坡地质、监测、标准化等领域的专家对标准的整体框架、核心章节设置及关键技术路线进行把关。专家评审意见为标准的最终定型提供了重要指导。在此基础上，编制组完成了全部内容的整合与校对，最终形成了《公路边坡自动化监测技术规程（征求意见稿）》。</w:t>
      </w:r>
    </w:p>
    <w:p w14:paraId="14382DDA">
      <w:pPr>
        <w:pStyle w:val="16"/>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left"/>
        <w:textAlignment w:val="auto"/>
        <w:outlineLvl w:val="0"/>
        <w:rPr>
          <w:rFonts w:hint="eastAsia" w:ascii="黑体" w:hAnsi="黑体" w:eastAsia="黑体" w:cs="黑体"/>
          <w:b/>
          <w:bCs/>
          <w:sz w:val="32"/>
          <w:szCs w:val="32"/>
          <w:lang w:val="en-US" w:eastAsia="zh-CN"/>
        </w:rPr>
      </w:pPr>
      <w:bookmarkStart w:id="7" w:name="_Toc325"/>
      <w:r>
        <w:rPr>
          <w:rFonts w:hint="eastAsia" w:ascii="黑体" w:hAnsi="黑体" w:eastAsia="黑体" w:cs="黑体"/>
          <w:b/>
          <w:bCs/>
          <w:kern w:val="2"/>
          <w:sz w:val="32"/>
          <w:szCs w:val="32"/>
          <w:lang w:val="en-US" w:eastAsia="zh-CN" w:bidi="ar-SA"/>
        </w:rPr>
        <w:t>四、</w:t>
      </w:r>
      <w:r>
        <w:rPr>
          <w:rFonts w:hint="eastAsia" w:ascii="黑体" w:hAnsi="黑体" w:eastAsia="黑体" w:cs="黑体"/>
          <w:b/>
          <w:bCs/>
          <w:sz w:val="32"/>
          <w:szCs w:val="32"/>
          <w:lang w:val="en-US" w:eastAsia="zh-CN"/>
        </w:rPr>
        <w:t>主要技术指标、参数、实验验证的论述</w:t>
      </w:r>
      <w:bookmarkEnd w:id="7"/>
    </w:p>
    <w:p w14:paraId="4BEEC869">
      <w:pPr>
        <w:pStyle w:val="16"/>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outlineLvl w:val="1"/>
        <w:rPr>
          <w:rFonts w:hint="eastAsia" w:ascii="楷体_GB2312" w:hAnsi="楷体_GB2312" w:eastAsia="楷体_GB2312" w:cs="楷体_GB2312"/>
          <w:b/>
          <w:bCs/>
          <w:sz w:val="32"/>
          <w:szCs w:val="32"/>
          <w:lang w:val="en-US" w:eastAsia="zh-CN"/>
        </w:rPr>
      </w:pPr>
      <w:bookmarkStart w:id="8" w:name="_Toc10814"/>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一）编制原则</w:t>
      </w:r>
      <w:bookmarkEnd w:id="8"/>
    </w:p>
    <w:p w14:paraId="2DA0D182">
      <w:pPr>
        <w:pStyle w:val="16"/>
        <w:keepNext w:val="0"/>
        <w:keepLines w:val="0"/>
        <w:pageBreakBefore w:val="0"/>
        <w:widowControl w:val="0"/>
        <w:numPr>
          <w:ilvl w:val="0"/>
          <w:numId w:val="1"/>
        </w:numPr>
        <w:kinsoku/>
        <w:wordWrap/>
        <w:overflowPunct/>
        <w:topLinePunct w:val="0"/>
        <w:autoSpaceDE/>
        <w:autoSpaceDN/>
        <w:bidi w:val="0"/>
        <w:adjustRightInd/>
        <w:snapToGrid/>
        <w:spacing w:line="360" w:lineRule="auto"/>
        <w:ind w:left="170" w:leftChars="0" w:hanging="170" w:firstLineChars="0"/>
        <w:jc w:val="left"/>
        <w:textAlignment w:val="auto"/>
        <w:rPr>
          <w:rFonts w:hint="eastAsia" w:ascii="Times New Roman" w:hAnsi="Times New Roman" w:eastAsia="仿宋_GB2312"/>
          <w:b w:val="0"/>
          <w:bCs w:val="0"/>
          <w:sz w:val="32"/>
          <w:szCs w:val="32"/>
          <w:lang w:val="en-US" w:eastAsia="zh-CN"/>
        </w:rPr>
      </w:pPr>
      <w:r>
        <w:rPr>
          <w:rFonts w:hint="eastAsia" w:ascii="Times New Roman" w:hAnsi="Times New Roman" w:eastAsia="仿宋_GB2312"/>
          <w:sz w:val="32"/>
          <w:szCs w:val="32"/>
          <w:lang w:val="en-US" w:eastAsia="zh-CN"/>
        </w:rPr>
        <w:t></w:t>
      </w:r>
      <w:r>
        <w:rPr>
          <w:rFonts w:hint="eastAsia" w:ascii="Times New Roman" w:hAnsi="Times New Roman" w:eastAsia="仿宋_GB2312"/>
          <w:b/>
          <w:bCs/>
          <w:sz w:val="32"/>
          <w:szCs w:val="32"/>
          <w:lang w:val="en-US" w:eastAsia="zh-CN"/>
        </w:rPr>
        <w:t>科学性与先进性原则：</w:t>
      </w:r>
      <w:r>
        <w:rPr>
          <w:rFonts w:hint="eastAsia" w:ascii="Times New Roman" w:hAnsi="Times New Roman" w:eastAsia="仿宋_GB2312"/>
          <w:b w:val="0"/>
          <w:bCs w:val="0"/>
          <w:sz w:val="32"/>
          <w:szCs w:val="32"/>
          <w:lang w:val="en-US" w:eastAsia="zh-CN"/>
        </w:rPr>
        <w:t>本标准的制定以工程地质学、岩土力学、传感器技术、数据通信技术及防灾减灾工程学等领域的成熟理论和技术成果为基础，系统总结了长三角区域公路边坡病害特征与自动化监测实践经验。同时，积极吸收物联网、云计算、大数据等现代信息技术的最新发展成果，确保标准的技术内容科学、先进，能够指导建立高效、可靠的公路边坡自动化监测预警系统。</w:t>
      </w:r>
    </w:p>
    <w:p w14:paraId="27A85B92">
      <w:pPr>
        <w:pStyle w:val="16"/>
        <w:keepNext w:val="0"/>
        <w:keepLines w:val="0"/>
        <w:pageBreakBefore w:val="0"/>
        <w:widowControl w:val="0"/>
        <w:numPr>
          <w:ilvl w:val="0"/>
          <w:numId w:val="1"/>
        </w:numPr>
        <w:kinsoku/>
        <w:wordWrap/>
        <w:overflowPunct/>
        <w:topLinePunct w:val="0"/>
        <w:autoSpaceDE/>
        <w:autoSpaceDN/>
        <w:bidi w:val="0"/>
        <w:adjustRightInd/>
        <w:snapToGrid/>
        <w:spacing w:line="360" w:lineRule="auto"/>
        <w:ind w:left="170" w:leftChars="0" w:hanging="170" w:firstLineChars="0"/>
        <w:jc w:val="left"/>
        <w:textAlignment w:val="auto"/>
        <w:rPr>
          <w:rFonts w:hint="eastAsia" w:ascii="Times New Roman" w:hAnsi="Times New Roman" w:eastAsia="仿宋_GB2312"/>
          <w:b w:val="0"/>
          <w:bCs w:val="0"/>
          <w:sz w:val="32"/>
          <w:szCs w:val="32"/>
          <w:lang w:val="en-US" w:eastAsia="zh-CN"/>
        </w:rPr>
      </w:pPr>
      <w:r>
        <w:rPr>
          <w:rFonts w:hint="eastAsia" w:ascii="Times New Roman" w:hAnsi="Times New Roman" w:eastAsia="仿宋_GB2312"/>
          <w:b/>
          <w:bCs/>
          <w:sz w:val="32"/>
          <w:szCs w:val="32"/>
          <w:lang w:val="en-US" w:eastAsia="zh-CN"/>
        </w:rPr>
        <w:t>适用性与针对性原则：</w:t>
      </w:r>
      <w:r>
        <w:rPr>
          <w:rFonts w:hint="eastAsia" w:ascii="Times New Roman" w:hAnsi="Times New Roman" w:eastAsia="仿宋_GB2312"/>
          <w:b w:val="0"/>
          <w:bCs w:val="0"/>
          <w:sz w:val="32"/>
          <w:szCs w:val="32"/>
          <w:lang w:val="en-US" w:eastAsia="zh-CN"/>
        </w:rPr>
        <w:t>针对长三角区域地质条件复杂、降雨丰沛、人类工程活动强烈等特点，以及公路边坡运营安全面临的共性问题和突出风险，本标准聚焦于路堑边坡、填方边坡等主要监测对象，明确了监测精度要求、监测内容选择、监测点位布设、监测设备选型、预警指标等关键技术要求指标，确保标准能够紧密贴合区域工程实际，具备良好的可操作性和区域适用性。</w:t>
      </w:r>
    </w:p>
    <w:p w14:paraId="3BC9DD2E">
      <w:pPr>
        <w:pStyle w:val="16"/>
        <w:keepNext w:val="0"/>
        <w:keepLines w:val="0"/>
        <w:pageBreakBefore w:val="0"/>
        <w:widowControl w:val="0"/>
        <w:numPr>
          <w:ilvl w:val="0"/>
          <w:numId w:val="1"/>
        </w:numPr>
        <w:kinsoku/>
        <w:wordWrap/>
        <w:overflowPunct/>
        <w:topLinePunct w:val="0"/>
        <w:autoSpaceDE/>
        <w:autoSpaceDN/>
        <w:bidi w:val="0"/>
        <w:adjustRightInd/>
        <w:snapToGrid/>
        <w:spacing w:line="360" w:lineRule="auto"/>
        <w:ind w:left="170" w:leftChars="0" w:hanging="170" w:firstLineChars="0"/>
        <w:jc w:val="left"/>
        <w:textAlignment w:val="auto"/>
        <w:rPr>
          <w:rFonts w:hint="eastAsia" w:ascii="Times New Roman" w:hAnsi="Times New Roman" w:eastAsia="仿宋_GB2312"/>
          <w:b w:val="0"/>
          <w:bCs w:val="0"/>
          <w:sz w:val="32"/>
          <w:szCs w:val="32"/>
          <w:lang w:val="en-US" w:eastAsia="zh-CN"/>
        </w:rPr>
      </w:pPr>
      <w:r>
        <w:rPr>
          <w:rFonts w:hint="eastAsia" w:ascii="Times New Roman" w:hAnsi="Times New Roman" w:eastAsia="仿宋_GB2312"/>
          <w:b/>
          <w:bCs/>
          <w:sz w:val="32"/>
          <w:szCs w:val="32"/>
          <w:lang w:val="en-US" w:eastAsia="zh-CN"/>
        </w:rPr>
        <w:t>系统性与完整性原则：</w:t>
      </w:r>
      <w:r>
        <w:rPr>
          <w:rFonts w:hint="eastAsia" w:ascii="Times New Roman" w:hAnsi="Times New Roman" w:eastAsia="仿宋_GB2312"/>
          <w:b w:val="0"/>
          <w:bCs w:val="0"/>
          <w:sz w:val="32"/>
          <w:szCs w:val="32"/>
          <w:lang w:val="en-US" w:eastAsia="zh-CN"/>
        </w:rPr>
        <w:t>本标准覆盖了公路边坡自动化监测的全过程，包括方案设计、施工、验收与运维等各个环节，形成闭环管理。通过构建完整的技术体系，确保监测系统不仅“建得好”，更能“用得好、管得好”，切实发挥风险防控作用。</w:t>
      </w:r>
    </w:p>
    <w:p w14:paraId="369E5D26">
      <w:pPr>
        <w:pStyle w:val="16"/>
        <w:keepNext w:val="0"/>
        <w:keepLines w:val="0"/>
        <w:pageBreakBefore w:val="0"/>
        <w:widowControl w:val="0"/>
        <w:numPr>
          <w:ilvl w:val="0"/>
          <w:numId w:val="1"/>
        </w:numPr>
        <w:kinsoku/>
        <w:wordWrap/>
        <w:overflowPunct/>
        <w:topLinePunct w:val="0"/>
        <w:autoSpaceDE/>
        <w:autoSpaceDN/>
        <w:bidi w:val="0"/>
        <w:adjustRightInd/>
        <w:snapToGrid/>
        <w:spacing w:line="360" w:lineRule="auto"/>
        <w:ind w:left="170" w:leftChars="0" w:hanging="170" w:firstLineChars="0"/>
        <w:jc w:val="left"/>
        <w:textAlignment w:val="auto"/>
        <w:rPr>
          <w:rFonts w:hint="eastAsia" w:ascii="Times New Roman" w:hAnsi="Times New Roman" w:eastAsia="仿宋_GB2312"/>
          <w:b w:val="0"/>
          <w:bCs w:val="0"/>
          <w:sz w:val="32"/>
          <w:szCs w:val="32"/>
          <w:lang w:val="en-US" w:eastAsia="zh-CN"/>
        </w:rPr>
      </w:pPr>
      <w:r>
        <w:rPr>
          <w:rFonts w:hint="eastAsia" w:ascii="Times New Roman" w:hAnsi="Times New Roman" w:eastAsia="仿宋_GB2312"/>
          <w:b/>
          <w:bCs/>
          <w:sz w:val="32"/>
          <w:szCs w:val="32"/>
          <w:lang w:val="en-US" w:eastAsia="zh-CN"/>
        </w:rPr>
        <w:t>协调性与规范性原则：</w:t>
      </w:r>
      <w:r>
        <w:rPr>
          <w:rFonts w:hint="eastAsia" w:ascii="Times New Roman" w:hAnsi="Times New Roman" w:eastAsia="仿宋_GB2312"/>
          <w:b w:val="0"/>
          <w:bCs w:val="0"/>
          <w:sz w:val="32"/>
          <w:szCs w:val="32"/>
          <w:lang w:val="en-US" w:eastAsia="zh-CN"/>
        </w:rPr>
        <w:t>本标准在技术术语、符号、计量单位、基本规定等方面，与国家及行业现行基础性、通用性标准保持严格一致。在核心技术要求上，注重与上位的强制性标准及推荐性标准协调配套，避免矛盾，共同构成公路工程标准体系的有机组成部分。</w:t>
      </w:r>
    </w:p>
    <w:p w14:paraId="2ECB2A86">
      <w:pPr>
        <w:pStyle w:val="16"/>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outlineLvl w:val="1"/>
        <w:rPr>
          <w:rFonts w:hint="default" w:ascii="楷体_GB2312" w:hAnsi="楷体_GB2312" w:eastAsia="楷体_GB2312" w:cs="楷体_GB2312"/>
          <w:b/>
          <w:bCs/>
          <w:sz w:val="32"/>
          <w:szCs w:val="32"/>
          <w:lang w:val="en-US" w:eastAsia="zh-CN"/>
        </w:rPr>
      </w:pPr>
      <w:bookmarkStart w:id="9" w:name="_Toc17866"/>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二）标准主要内容及说明</w:t>
      </w:r>
      <w:bookmarkEnd w:id="9"/>
    </w:p>
    <w:p w14:paraId="662D8E8B">
      <w:pPr>
        <w:spacing w:line="360" w:lineRule="auto"/>
        <w:ind w:firstLine="640" w:firstLineChars="200"/>
        <w:rPr>
          <w:rFonts w:hint="eastAsia" w:ascii="Times New Roman" w:hAnsi="Times New Roman" w:eastAsia="仿宋_GB2312" w:cs="Times New Roman"/>
          <w:color w:val="000000"/>
          <w:kern w:val="0"/>
          <w:sz w:val="32"/>
          <w:szCs w:val="21"/>
          <w:lang w:val="en-US" w:eastAsia="zh-CN"/>
        </w:rPr>
      </w:pPr>
      <w:r>
        <w:rPr>
          <w:rFonts w:hint="eastAsia" w:ascii="Times New Roman" w:hAnsi="Times New Roman" w:eastAsia="仿宋_GB2312" w:cs="Times New Roman"/>
          <w:color w:val="000000"/>
          <w:kern w:val="0"/>
          <w:sz w:val="32"/>
          <w:szCs w:val="21"/>
          <w:lang w:val="en-US" w:eastAsia="zh-CN"/>
        </w:rPr>
        <w:t>本规程共设9个章节和3个附录。第1章为范围，第2章为规范性引用文件，第3章为术语和缩略语，第4章为基本规定，第5章为自动化监测方案设计，第6章为系统硬件设备施工，第7章为监测软件施工，第8章为系统调试及验收，第9章为系统运维。附录A为公路边坡监测分级（规范性附录），附录B为边坡自动化监测范围（规范性附录），附录C为公路边坡常用自动化监测方法（资料性附录）。</w:t>
      </w:r>
    </w:p>
    <w:p w14:paraId="7A14B7FC">
      <w:pPr>
        <w:pStyle w:val="16"/>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643" w:firstLineChars="200"/>
        <w:jc w:val="left"/>
        <w:textAlignment w:val="auto"/>
        <w:outlineLvl w:val="2"/>
        <w:rPr>
          <w:rFonts w:hint="eastAsia" w:ascii="Times New Roman" w:hAnsi="Times New Roman" w:eastAsia="仿宋_GB2312" w:cstheme="minorBidi"/>
          <w:b/>
          <w:bCs/>
          <w:kern w:val="2"/>
          <w:sz w:val="32"/>
          <w:szCs w:val="32"/>
          <w:lang w:val="en-US" w:eastAsia="zh-CN" w:bidi="ar-SA"/>
        </w:rPr>
      </w:pPr>
      <w:r>
        <w:rPr>
          <w:rFonts w:hint="eastAsia" w:ascii="Times New Roman" w:hAnsi="Times New Roman" w:eastAsia="仿宋_GB2312" w:cstheme="minorBidi"/>
          <w:b/>
          <w:bCs/>
          <w:kern w:val="2"/>
          <w:sz w:val="32"/>
          <w:szCs w:val="32"/>
          <w:lang w:val="en-US" w:eastAsia="zh-CN" w:bidi="ar-SA"/>
        </w:rPr>
        <w:t>1. 第四章“基本规定”的主要条款说明</w:t>
      </w:r>
    </w:p>
    <w:p w14:paraId="1A39634E">
      <w:pPr>
        <w:pStyle w:val="16"/>
        <w:keepNext w:val="0"/>
        <w:keepLines w:val="0"/>
        <w:pageBreakBefore w:val="0"/>
        <w:widowControl w:val="0"/>
        <w:numPr>
          <w:ilvl w:val="0"/>
          <w:numId w:val="1"/>
        </w:numPr>
        <w:kinsoku/>
        <w:wordWrap/>
        <w:overflowPunct/>
        <w:topLinePunct w:val="0"/>
        <w:autoSpaceDE/>
        <w:autoSpaceDN/>
        <w:bidi w:val="0"/>
        <w:adjustRightInd/>
        <w:snapToGrid/>
        <w:spacing w:line="360" w:lineRule="auto"/>
        <w:ind w:left="170" w:leftChars="0" w:hanging="170" w:firstLineChars="0"/>
        <w:jc w:val="left"/>
        <w:textAlignment w:val="auto"/>
        <w:rPr>
          <w:rFonts w:hint="eastAsia" w:ascii="Times New Roman" w:hAnsi="Times New Roman" w:eastAsia="仿宋_GB2312"/>
          <w:b/>
          <w:bCs/>
          <w:sz w:val="32"/>
          <w:szCs w:val="32"/>
          <w:lang w:val="en-US" w:eastAsia="zh-CN"/>
        </w:rPr>
      </w:pPr>
      <w:r>
        <w:rPr>
          <w:rFonts w:hint="eastAsia" w:ascii="Times New Roman" w:hAnsi="Times New Roman" w:eastAsia="仿宋_GB2312"/>
          <w:b/>
          <w:bCs/>
          <w:sz w:val="32"/>
          <w:szCs w:val="32"/>
          <w:lang w:val="en-US" w:eastAsia="zh-CN"/>
        </w:rPr>
        <w:t>自动化监测适用条件（条款4.0.1 ）</w:t>
      </w:r>
    </w:p>
    <w:p w14:paraId="347C5696">
      <w:pPr>
        <w:spacing w:line="360" w:lineRule="auto"/>
        <w:ind w:firstLine="640" w:firstLineChars="200"/>
        <w:rPr>
          <w:rFonts w:hint="eastAsia" w:ascii="Times New Roman" w:hAnsi="Times New Roman" w:eastAsia="仿宋_GB2312" w:cs="Times New Roman"/>
          <w:color w:val="000000"/>
          <w:kern w:val="0"/>
          <w:sz w:val="32"/>
          <w:szCs w:val="21"/>
        </w:rPr>
      </w:pPr>
      <w:r>
        <w:rPr>
          <w:rFonts w:hint="eastAsia" w:ascii="Times New Roman" w:hAnsi="Times New Roman" w:eastAsia="仿宋_GB2312" w:cs="Times New Roman"/>
          <w:color w:val="000000"/>
          <w:kern w:val="0"/>
          <w:sz w:val="32"/>
          <w:szCs w:val="21"/>
        </w:rPr>
        <w:t>说明： 本条款明确规定了公路边坡采用自动化监测的六种情形（高频次监测、长期监测、人工监测难度大、危险性大、已发生或可能发生地质灾害及其他特殊要求）。该规定主要依据当前行业发展趋势和技术实践：传统依赖人工巡检及局部监测的方式，成本高、效率低、响应滞后，在复杂自然环境和恶劣天气条件下难以实现对边坡的全面、准确监测。《交通强国建设纲要》中指出“强化交通基础设施养护，加强基础设施运行监测检测，提高养护专业化、信息化水平，增强设施耐久性和可靠性”</w:t>
      </w:r>
      <w:r>
        <w:rPr>
          <w:rFonts w:hint="eastAsia" w:ascii="Times New Roman" w:hAnsi="Times New Roman" w:eastAsia="仿宋_GB2312" w:cs="Times New Roman"/>
          <w:color w:val="000000"/>
          <w:kern w:val="0"/>
          <w:sz w:val="32"/>
          <w:szCs w:val="21"/>
          <w:lang w:eastAsia="zh-CN"/>
        </w:rPr>
        <w:t>，《交通运输部关于进一步提升公路防灾抗灾能力的指导意见》指出截至2030年底高风险高速公路边坡专业监测布局基本完成，监测预警能力现代化基本实现。</w:t>
      </w:r>
      <w:r>
        <w:rPr>
          <w:rFonts w:hint="eastAsia" w:ascii="Times New Roman" w:hAnsi="Times New Roman" w:eastAsia="仿宋_GB2312" w:cs="Times New Roman"/>
          <w:color w:val="000000"/>
          <w:kern w:val="0"/>
          <w:sz w:val="32"/>
          <w:szCs w:val="21"/>
        </w:rPr>
        <w:t>本条款在此基础上结合公路工程实际进行了细化。</w:t>
      </w:r>
    </w:p>
    <w:p w14:paraId="5A04A200">
      <w:pPr>
        <w:pStyle w:val="16"/>
        <w:keepNext w:val="0"/>
        <w:keepLines w:val="0"/>
        <w:pageBreakBefore w:val="0"/>
        <w:widowControl w:val="0"/>
        <w:numPr>
          <w:ilvl w:val="0"/>
          <w:numId w:val="1"/>
        </w:numPr>
        <w:kinsoku/>
        <w:wordWrap/>
        <w:overflowPunct/>
        <w:topLinePunct w:val="0"/>
        <w:autoSpaceDE/>
        <w:autoSpaceDN/>
        <w:bidi w:val="0"/>
        <w:adjustRightInd/>
        <w:snapToGrid/>
        <w:spacing w:line="360" w:lineRule="auto"/>
        <w:ind w:left="170" w:leftChars="0" w:hanging="170" w:firstLineChars="0"/>
        <w:jc w:val="left"/>
        <w:textAlignment w:val="auto"/>
        <w:rPr>
          <w:rFonts w:hint="eastAsia" w:ascii="Times New Roman" w:hAnsi="Times New Roman" w:eastAsia="仿宋_GB2312"/>
          <w:b/>
          <w:bCs/>
          <w:sz w:val="32"/>
          <w:szCs w:val="32"/>
          <w:lang w:val="en-US" w:eastAsia="zh-CN"/>
        </w:rPr>
      </w:pPr>
      <w:r>
        <w:rPr>
          <w:rFonts w:hint="eastAsia" w:ascii="Times New Roman" w:hAnsi="Times New Roman" w:eastAsia="仿宋_GB2312"/>
          <w:b/>
          <w:bCs/>
          <w:sz w:val="32"/>
          <w:szCs w:val="32"/>
          <w:lang w:val="en-US" w:eastAsia="zh-CN"/>
        </w:rPr>
        <w:t>监测实施步骤（条款4.0.3）</w:t>
      </w:r>
    </w:p>
    <w:p w14:paraId="018E9048">
      <w:pPr>
        <w:spacing w:line="360" w:lineRule="auto"/>
        <w:ind w:firstLine="640" w:firstLineChars="200"/>
        <w:rPr>
          <w:rFonts w:hint="eastAsia" w:ascii="Times New Roman" w:hAnsi="Times New Roman" w:eastAsia="仿宋_GB2312" w:cs="Times New Roman"/>
          <w:color w:val="000000"/>
          <w:kern w:val="0"/>
          <w:sz w:val="32"/>
          <w:szCs w:val="21"/>
        </w:rPr>
      </w:pPr>
      <w:r>
        <w:rPr>
          <w:rFonts w:hint="eastAsia" w:ascii="Times New Roman" w:hAnsi="Times New Roman" w:eastAsia="仿宋_GB2312" w:cs="Times New Roman"/>
          <w:color w:val="000000"/>
          <w:kern w:val="0"/>
          <w:sz w:val="32"/>
          <w:szCs w:val="21"/>
        </w:rPr>
        <w:t>说明： 本条款规定了公路边坡自动化监测的七步实施流程。该流程的确定</w:t>
      </w:r>
      <w:r>
        <w:rPr>
          <w:rFonts w:hint="eastAsia" w:ascii="Times New Roman" w:hAnsi="Times New Roman" w:eastAsia="仿宋_GB2312" w:cs="Times New Roman"/>
          <w:color w:val="000000"/>
          <w:kern w:val="0"/>
          <w:sz w:val="32"/>
          <w:szCs w:val="21"/>
          <w:lang w:val="en-US" w:eastAsia="zh-CN"/>
        </w:rPr>
        <w:t>主要是在长三角区域工程实地调研资料的</w:t>
      </w:r>
      <w:r>
        <w:rPr>
          <w:rFonts w:hint="eastAsia" w:ascii="Times New Roman" w:hAnsi="Times New Roman" w:eastAsia="仿宋_GB2312" w:cs="Times New Roman"/>
          <w:color w:val="000000"/>
          <w:kern w:val="0"/>
          <w:sz w:val="32"/>
          <w:szCs w:val="21"/>
        </w:rPr>
        <w:t>基础上进行了系统化梳理，形成了从前期踏勘到总结报告的全过程闭环管理框架。</w:t>
      </w:r>
    </w:p>
    <w:p w14:paraId="0295BB9F">
      <w:pPr>
        <w:pStyle w:val="16"/>
        <w:keepNext w:val="0"/>
        <w:keepLines w:val="0"/>
        <w:pageBreakBefore w:val="0"/>
        <w:widowControl w:val="0"/>
        <w:numPr>
          <w:ilvl w:val="0"/>
          <w:numId w:val="1"/>
        </w:numPr>
        <w:kinsoku/>
        <w:wordWrap/>
        <w:overflowPunct/>
        <w:topLinePunct w:val="0"/>
        <w:autoSpaceDE/>
        <w:autoSpaceDN/>
        <w:bidi w:val="0"/>
        <w:adjustRightInd/>
        <w:snapToGrid/>
        <w:spacing w:line="360" w:lineRule="auto"/>
        <w:ind w:left="170" w:leftChars="0" w:hanging="170" w:firstLineChars="0"/>
        <w:jc w:val="left"/>
        <w:textAlignment w:val="auto"/>
        <w:rPr>
          <w:rFonts w:hint="eastAsia" w:ascii="Times New Roman" w:hAnsi="Times New Roman" w:eastAsia="仿宋_GB2312"/>
          <w:b/>
          <w:bCs/>
          <w:sz w:val="32"/>
          <w:szCs w:val="32"/>
          <w:lang w:val="en-US" w:eastAsia="zh-CN"/>
        </w:rPr>
      </w:pPr>
      <w:r>
        <w:rPr>
          <w:rFonts w:hint="eastAsia" w:ascii="Times New Roman" w:hAnsi="Times New Roman" w:eastAsia="仿宋_GB2312"/>
          <w:b/>
          <w:bCs/>
          <w:sz w:val="32"/>
          <w:szCs w:val="32"/>
          <w:lang w:val="en-US" w:eastAsia="zh-CN"/>
        </w:rPr>
        <w:t>监测与巡查的互补机制（条款4.0.5 ）</w:t>
      </w:r>
    </w:p>
    <w:p w14:paraId="7D8D36F0">
      <w:pPr>
        <w:spacing w:line="360" w:lineRule="auto"/>
        <w:ind w:firstLine="640" w:firstLineChars="200"/>
        <w:rPr>
          <w:rFonts w:hint="eastAsia" w:ascii="Times New Roman" w:hAnsi="Times New Roman" w:eastAsia="仿宋_GB2312" w:cs="Times New Roman"/>
          <w:color w:val="000000"/>
          <w:kern w:val="0"/>
          <w:sz w:val="32"/>
          <w:szCs w:val="21"/>
        </w:rPr>
      </w:pPr>
      <w:r>
        <w:rPr>
          <w:rFonts w:hint="eastAsia" w:ascii="Times New Roman" w:hAnsi="Times New Roman" w:eastAsia="仿宋_GB2312" w:cs="Times New Roman"/>
          <w:color w:val="000000"/>
          <w:kern w:val="0"/>
          <w:sz w:val="32"/>
          <w:szCs w:val="21"/>
        </w:rPr>
        <w:t>说明： 本条款规定了自动化监测应与灾害风险排查核查、日常巡查、经常检查、定期检查、专项检查和应急检查形成互补机制，综合评估边坡稳定状态。该规定基于以下考虑：自动化监测系统提供的是定量化的数据支撑，但边坡稳定性的综合判断仍需结合人工巡查的定性观察，二者互为补充，方能全面掌握边坡安全状况。这一原则在</w:t>
      </w:r>
      <w:r>
        <w:rPr>
          <w:rFonts w:hint="eastAsia" w:ascii="Times New Roman" w:hAnsi="Times New Roman" w:eastAsia="仿宋_GB2312" w:cs="Times New Roman"/>
          <w:color w:val="000000"/>
          <w:kern w:val="0"/>
          <w:sz w:val="32"/>
          <w:szCs w:val="21"/>
          <w:lang w:val="en-US" w:eastAsia="zh-CN"/>
        </w:rPr>
        <w:t>长三角乃至</w:t>
      </w:r>
      <w:r>
        <w:rPr>
          <w:rFonts w:hint="eastAsia" w:ascii="Times New Roman" w:hAnsi="Times New Roman" w:eastAsia="仿宋_GB2312" w:cs="Times New Roman"/>
          <w:color w:val="000000"/>
          <w:kern w:val="0"/>
          <w:sz w:val="32"/>
          <w:szCs w:val="21"/>
        </w:rPr>
        <w:t>国内多个</w:t>
      </w:r>
      <w:r>
        <w:rPr>
          <w:rFonts w:hint="eastAsia" w:ascii="Times New Roman" w:hAnsi="Times New Roman" w:eastAsia="仿宋_GB2312" w:cs="Times New Roman"/>
          <w:color w:val="000000"/>
          <w:kern w:val="0"/>
          <w:sz w:val="32"/>
          <w:szCs w:val="21"/>
          <w:lang w:val="en-US" w:eastAsia="zh-CN"/>
        </w:rPr>
        <w:t>实践项目</w:t>
      </w:r>
      <w:r>
        <w:rPr>
          <w:rFonts w:hint="eastAsia" w:ascii="Times New Roman" w:hAnsi="Times New Roman" w:eastAsia="仿宋_GB2312" w:cs="Times New Roman"/>
          <w:color w:val="000000"/>
          <w:kern w:val="0"/>
          <w:sz w:val="32"/>
          <w:szCs w:val="21"/>
        </w:rPr>
        <w:t>中已得到验证。</w:t>
      </w:r>
    </w:p>
    <w:p w14:paraId="7971EFC3">
      <w:pPr>
        <w:pStyle w:val="16"/>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643" w:firstLineChars="200"/>
        <w:jc w:val="left"/>
        <w:textAlignment w:val="auto"/>
        <w:outlineLvl w:val="2"/>
        <w:rPr>
          <w:rFonts w:hint="eastAsia" w:ascii="Times New Roman" w:hAnsi="Times New Roman" w:eastAsia="仿宋_GB2312" w:cstheme="minorBidi"/>
          <w:b/>
          <w:bCs/>
          <w:kern w:val="2"/>
          <w:sz w:val="32"/>
          <w:szCs w:val="32"/>
          <w:lang w:val="en-US" w:eastAsia="zh-CN" w:bidi="ar-SA"/>
        </w:rPr>
      </w:pPr>
      <w:r>
        <w:rPr>
          <w:rFonts w:hint="eastAsia" w:ascii="Times New Roman" w:hAnsi="Times New Roman" w:eastAsia="仿宋_GB2312" w:cstheme="minorBidi"/>
          <w:b/>
          <w:bCs/>
          <w:kern w:val="2"/>
          <w:sz w:val="32"/>
          <w:szCs w:val="32"/>
          <w:lang w:val="en-US" w:eastAsia="zh-CN" w:bidi="ar-SA"/>
        </w:rPr>
        <w:t>2. 第五章“自动化监测方案设计”的主要条款说明</w:t>
      </w:r>
    </w:p>
    <w:p w14:paraId="28F66E52">
      <w:pPr>
        <w:pStyle w:val="16"/>
        <w:keepNext w:val="0"/>
        <w:keepLines w:val="0"/>
        <w:pageBreakBefore w:val="0"/>
        <w:widowControl w:val="0"/>
        <w:numPr>
          <w:ilvl w:val="0"/>
          <w:numId w:val="1"/>
        </w:numPr>
        <w:kinsoku/>
        <w:wordWrap/>
        <w:overflowPunct/>
        <w:topLinePunct w:val="0"/>
        <w:autoSpaceDE/>
        <w:autoSpaceDN/>
        <w:bidi w:val="0"/>
        <w:adjustRightInd/>
        <w:snapToGrid/>
        <w:spacing w:line="360" w:lineRule="auto"/>
        <w:ind w:left="170" w:leftChars="0" w:hanging="170" w:firstLineChars="0"/>
        <w:jc w:val="left"/>
        <w:textAlignment w:val="auto"/>
        <w:rPr>
          <w:rFonts w:hint="eastAsia" w:ascii="Times New Roman" w:hAnsi="Times New Roman" w:eastAsia="仿宋_GB2312"/>
          <w:b/>
          <w:bCs/>
          <w:sz w:val="32"/>
          <w:szCs w:val="32"/>
          <w:lang w:val="en-US" w:eastAsia="zh-CN"/>
        </w:rPr>
      </w:pPr>
      <w:r>
        <w:rPr>
          <w:rFonts w:hint="eastAsia" w:ascii="Times New Roman" w:hAnsi="Times New Roman" w:eastAsia="仿宋_GB2312"/>
          <w:b/>
          <w:bCs/>
          <w:sz w:val="32"/>
          <w:szCs w:val="32"/>
          <w:lang w:val="en-US" w:eastAsia="zh-CN"/>
        </w:rPr>
        <w:t>监测等级划分（条款5.1.3及附录A）</w:t>
      </w:r>
    </w:p>
    <w:p w14:paraId="1B185143">
      <w:pPr>
        <w:spacing w:line="360" w:lineRule="auto"/>
        <w:ind w:firstLine="640" w:firstLineChars="200"/>
        <w:rPr>
          <w:rFonts w:hint="eastAsia" w:ascii="Times New Roman" w:hAnsi="Times New Roman" w:eastAsia="仿宋_GB2312" w:cs="Times New Roman"/>
          <w:color w:val="000000"/>
          <w:kern w:val="0"/>
          <w:sz w:val="32"/>
          <w:szCs w:val="21"/>
        </w:rPr>
      </w:pPr>
      <w:r>
        <w:rPr>
          <w:rFonts w:hint="eastAsia" w:ascii="Times New Roman" w:hAnsi="Times New Roman" w:eastAsia="仿宋_GB2312" w:cs="Times New Roman"/>
          <w:color w:val="000000"/>
          <w:kern w:val="0"/>
          <w:sz w:val="32"/>
          <w:szCs w:val="21"/>
        </w:rPr>
        <w:t>说明： 本规程采用基于边坡安全等级和破坏后果的监测等级划分方法。通过调研11份相关标准，发现现有监测等级划分方法存在较大差异：建筑</w:t>
      </w:r>
      <w:r>
        <w:rPr>
          <w:rFonts w:hint="eastAsia" w:ascii="Times New Roman" w:hAnsi="Times New Roman" w:eastAsia="仿宋_GB2312" w:cs="Times New Roman"/>
          <w:color w:val="000000"/>
          <w:kern w:val="0"/>
          <w:sz w:val="32"/>
          <w:szCs w:val="21"/>
          <w:lang w:val="en-US" w:eastAsia="zh-CN"/>
        </w:rPr>
        <w:t>边坡</w:t>
      </w:r>
      <w:r>
        <w:rPr>
          <w:rFonts w:hint="eastAsia" w:ascii="Times New Roman" w:hAnsi="Times New Roman" w:eastAsia="仿宋_GB2312" w:cs="Times New Roman"/>
          <w:color w:val="000000"/>
          <w:kern w:val="0"/>
          <w:sz w:val="32"/>
          <w:szCs w:val="21"/>
        </w:rPr>
        <w:t>国标GB 50330</w:t>
      </w:r>
      <w:r>
        <w:rPr>
          <w:rFonts w:hint="eastAsia" w:ascii="Times New Roman" w:hAnsi="Times New Roman" w:eastAsia="仿宋_GB2312" w:cs="Times New Roman"/>
          <w:color w:val="000000"/>
          <w:kern w:val="0"/>
          <w:sz w:val="32"/>
          <w:szCs w:val="21"/>
          <w:lang w:val="en-US" w:eastAsia="zh-CN"/>
        </w:rPr>
        <w:t>和GB 50086的</w:t>
      </w:r>
      <w:r>
        <w:rPr>
          <w:rFonts w:hint="eastAsia" w:ascii="Times New Roman" w:hAnsi="Times New Roman" w:eastAsia="仿宋_GB2312" w:cs="Times New Roman"/>
          <w:color w:val="000000"/>
          <w:kern w:val="0"/>
          <w:sz w:val="32"/>
          <w:szCs w:val="21"/>
        </w:rPr>
        <w:t>边坡安全等级，依据坡体高度</w:t>
      </w:r>
      <w:r>
        <w:rPr>
          <w:rFonts w:hint="eastAsia" w:ascii="Times New Roman" w:hAnsi="Times New Roman" w:eastAsia="仿宋_GB2312" w:cs="Times New Roman"/>
          <w:color w:val="000000"/>
          <w:kern w:val="0"/>
          <w:sz w:val="32"/>
          <w:szCs w:val="21"/>
          <w:lang w:eastAsia="zh-CN"/>
        </w:rPr>
        <w:t>、</w:t>
      </w:r>
      <w:r>
        <w:rPr>
          <w:rFonts w:hint="eastAsia" w:ascii="Times New Roman" w:hAnsi="Times New Roman" w:eastAsia="仿宋_GB2312" w:cs="Times New Roman"/>
          <w:color w:val="000000"/>
          <w:kern w:val="0"/>
          <w:sz w:val="32"/>
          <w:szCs w:val="21"/>
          <w:lang w:val="en-US" w:eastAsia="zh-CN"/>
        </w:rPr>
        <w:t>岩性等级</w:t>
      </w:r>
      <w:r>
        <w:rPr>
          <w:rFonts w:hint="eastAsia" w:ascii="Times New Roman" w:hAnsi="Times New Roman" w:eastAsia="仿宋_GB2312" w:cs="Times New Roman"/>
          <w:color w:val="000000"/>
          <w:kern w:val="0"/>
          <w:sz w:val="32"/>
          <w:szCs w:val="21"/>
        </w:rPr>
        <w:t>和破坏后果严重性划分，但考虑因素尚有欠缺（地质、地形因素未考虑）</w:t>
      </w:r>
      <w:r>
        <w:rPr>
          <w:rFonts w:hint="eastAsia" w:ascii="Times New Roman" w:hAnsi="Times New Roman" w:eastAsia="仿宋_GB2312" w:cs="Times New Roman"/>
          <w:color w:val="000000"/>
          <w:kern w:val="0"/>
          <w:sz w:val="32"/>
          <w:szCs w:val="21"/>
          <w:lang w:val="en-US" w:eastAsia="zh-CN"/>
        </w:rPr>
        <w:t>；</w:t>
      </w:r>
      <w:r>
        <w:rPr>
          <w:rFonts w:hint="eastAsia" w:ascii="Times New Roman" w:hAnsi="Times New Roman" w:eastAsia="仿宋_GB2312" w:cs="Times New Roman"/>
          <w:color w:val="000000"/>
          <w:kern w:val="0"/>
          <w:sz w:val="32"/>
          <w:szCs w:val="21"/>
        </w:rPr>
        <w:t>湖北地标在公路边坡监测中考虑的因素较为全面，涵盖边坡高度、公路等级、地质条件、降雨量等</w:t>
      </w:r>
      <w:r>
        <w:rPr>
          <w:rFonts w:hint="eastAsia" w:ascii="Times New Roman" w:hAnsi="Times New Roman" w:eastAsia="仿宋_GB2312" w:cs="Times New Roman"/>
          <w:color w:val="000000"/>
          <w:kern w:val="0"/>
          <w:sz w:val="32"/>
          <w:szCs w:val="21"/>
          <w:lang w:eastAsia="zh-CN"/>
        </w:rPr>
        <w:t>多种</w:t>
      </w:r>
      <w:r>
        <w:rPr>
          <w:rFonts w:hint="eastAsia" w:ascii="Times New Roman" w:hAnsi="Times New Roman" w:eastAsia="仿宋_GB2312" w:cs="Times New Roman"/>
          <w:color w:val="000000"/>
          <w:kern w:val="0"/>
          <w:sz w:val="32"/>
          <w:szCs w:val="21"/>
        </w:rPr>
        <w:t>因素</w:t>
      </w:r>
      <w:r>
        <w:rPr>
          <w:rFonts w:hint="eastAsia" w:ascii="Times New Roman" w:hAnsi="Times New Roman" w:eastAsia="仿宋_GB2312" w:cs="Times New Roman"/>
          <w:color w:val="000000"/>
          <w:kern w:val="0"/>
          <w:sz w:val="32"/>
          <w:szCs w:val="21"/>
          <w:lang w:eastAsia="zh-CN"/>
        </w:rPr>
        <w:t>，</w:t>
      </w:r>
      <w:r>
        <w:rPr>
          <w:rFonts w:hint="eastAsia" w:ascii="Times New Roman" w:hAnsi="Times New Roman" w:eastAsia="仿宋_GB2312" w:cs="Times New Roman"/>
          <w:color w:val="000000"/>
          <w:kern w:val="0"/>
          <w:sz w:val="32"/>
          <w:szCs w:val="21"/>
          <w:lang w:val="en-US" w:eastAsia="zh-CN"/>
        </w:rPr>
        <w:t>但在边坡高度划分、外部条件复杂程度和破坏后果具体内容上仍有欠缺</w:t>
      </w:r>
      <w:r>
        <w:rPr>
          <w:rFonts w:hint="eastAsia" w:ascii="Times New Roman" w:hAnsi="Times New Roman" w:eastAsia="仿宋_GB2312" w:cs="Times New Roman"/>
          <w:color w:val="000000"/>
          <w:kern w:val="0"/>
          <w:sz w:val="32"/>
          <w:szCs w:val="21"/>
        </w:rPr>
        <w:t>。本规程在借鉴湖北地标思路的基础上，结合</w:t>
      </w:r>
      <w:r>
        <w:rPr>
          <w:rFonts w:hint="eastAsia" w:ascii="Times New Roman" w:hAnsi="Times New Roman" w:eastAsia="仿宋_GB2312" w:cs="Times New Roman"/>
          <w:b/>
          <w:bCs/>
          <w:color w:val="000000"/>
          <w:kern w:val="0"/>
          <w:sz w:val="32"/>
          <w:szCs w:val="21"/>
        </w:rPr>
        <w:t>长三角科技创新共同体联合攻关项目</w:t>
      </w:r>
      <w:r>
        <w:rPr>
          <w:rFonts w:hint="eastAsia" w:ascii="Times New Roman" w:hAnsi="Times New Roman" w:eastAsia="仿宋_GB2312" w:cs="Times New Roman"/>
          <w:b/>
          <w:bCs/>
          <w:color w:val="000000"/>
          <w:kern w:val="0"/>
          <w:sz w:val="32"/>
          <w:szCs w:val="21"/>
          <w:lang w:eastAsia="zh-CN"/>
        </w:rPr>
        <w:t>《高速公路滑坡灾害智能监测预警技术研究与示范》</w:t>
      </w:r>
      <w:r>
        <w:rPr>
          <w:rFonts w:hint="eastAsia" w:ascii="Times New Roman" w:hAnsi="Times New Roman" w:eastAsia="仿宋_GB2312" w:cs="Times New Roman"/>
          <w:color w:val="000000"/>
          <w:kern w:val="0"/>
          <w:sz w:val="32"/>
          <w:szCs w:val="21"/>
          <w:lang w:val="en-US" w:eastAsia="zh-CN"/>
        </w:rPr>
        <w:t>中相关研究成果确定</w:t>
      </w:r>
      <w:r>
        <w:rPr>
          <w:rFonts w:hint="eastAsia" w:ascii="Times New Roman" w:hAnsi="Times New Roman" w:eastAsia="仿宋_GB2312" w:cs="Times New Roman"/>
          <w:color w:val="000000"/>
          <w:kern w:val="0"/>
          <w:sz w:val="32"/>
          <w:szCs w:val="21"/>
        </w:rPr>
        <w:t>。</w:t>
      </w:r>
    </w:p>
    <w:p w14:paraId="0BFA6239">
      <w:pPr>
        <w:spacing w:line="360" w:lineRule="auto"/>
        <w:ind w:firstLine="640" w:firstLineChars="200"/>
        <w:rPr>
          <w:rFonts w:hint="eastAsia" w:ascii="Times New Roman" w:hAnsi="Times New Roman" w:eastAsia="仿宋_GB2312" w:cs="Times New Roman"/>
          <w:color w:val="000000"/>
          <w:kern w:val="0"/>
          <w:sz w:val="32"/>
          <w:szCs w:val="21"/>
        </w:rPr>
      </w:pPr>
      <w:r>
        <w:rPr>
          <w:rFonts w:hint="eastAsia" w:ascii="Times New Roman" w:hAnsi="Times New Roman" w:eastAsia="仿宋_GB2312" w:cs="Times New Roman"/>
          <w:color w:val="000000"/>
          <w:kern w:val="0"/>
          <w:sz w:val="32"/>
          <w:szCs w:val="21"/>
        </w:rPr>
        <w:t>附录A表A.1中监测等级分为一级、二级、三级</w:t>
      </w:r>
      <w:r>
        <w:rPr>
          <w:rFonts w:hint="eastAsia" w:ascii="Times New Roman" w:hAnsi="Times New Roman" w:eastAsia="仿宋_GB2312" w:cs="Times New Roman"/>
          <w:color w:val="000000"/>
          <w:kern w:val="0"/>
          <w:sz w:val="32"/>
          <w:szCs w:val="21"/>
          <w:lang w:eastAsia="zh-CN"/>
        </w:rPr>
        <w:t>，</w:t>
      </w:r>
      <w:r>
        <w:rPr>
          <w:rFonts w:hint="eastAsia" w:ascii="Times New Roman" w:hAnsi="Times New Roman" w:eastAsia="仿宋_GB2312" w:cs="Times New Roman"/>
          <w:color w:val="000000"/>
          <w:kern w:val="0"/>
          <w:sz w:val="32"/>
          <w:szCs w:val="21"/>
          <w:lang w:val="en-US" w:eastAsia="zh-CN"/>
        </w:rPr>
        <w:t>依据边坡安全等级和破坏后果确定</w:t>
      </w:r>
      <w:r>
        <w:rPr>
          <w:rFonts w:hint="eastAsia" w:ascii="Times New Roman" w:hAnsi="Times New Roman" w:eastAsia="仿宋_GB2312" w:cs="Times New Roman"/>
          <w:color w:val="000000"/>
          <w:kern w:val="0"/>
          <w:sz w:val="32"/>
          <w:szCs w:val="21"/>
        </w:rPr>
        <w:t>。边坡安全等级综合考虑边坡填挖类型（路堑/路堤）、岩土类型（岩质/土质）、边坡高度（H）和外部条件复杂程度确定。表A.3中外部条件复杂程度从地层岩（土）性质、坡体结构、区域灾害和年平均降雨量四个维度进行划分，其中地层岩性、坡体结构和区域灾害主要参考了</w:t>
      </w:r>
      <w:r>
        <w:rPr>
          <w:rFonts w:hint="eastAsia" w:ascii="Times New Roman" w:hAnsi="Times New Roman" w:eastAsia="仿宋_GB2312" w:cs="Times New Roman"/>
          <w:color w:val="000000"/>
          <w:kern w:val="0"/>
          <w:sz w:val="32"/>
          <w:szCs w:val="21"/>
          <w:lang w:val="en-US" w:eastAsia="zh-CN"/>
        </w:rPr>
        <w:t>长三角地区</w:t>
      </w:r>
      <w:r>
        <w:rPr>
          <w:rFonts w:hint="eastAsia" w:ascii="Times New Roman" w:hAnsi="Times New Roman" w:eastAsia="仿宋_GB2312" w:cs="Times New Roman"/>
          <w:color w:val="000000"/>
          <w:kern w:val="0"/>
          <w:sz w:val="32"/>
          <w:szCs w:val="21"/>
        </w:rPr>
        <w:t>的滑坡易发程度评价研究成果《高速公路滑坡灾害智能监测预警技术研究与示范》</w:t>
      </w:r>
      <w:r>
        <w:rPr>
          <w:rFonts w:hint="eastAsia" w:ascii="Times New Roman" w:hAnsi="Times New Roman" w:eastAsia="仿宋_GB2312" w:cs="Times New Roman"/>
          <w:color w:val="000000"/>
          <w:kern w:val="0"/>
          <w:sz w:val="32"/>
          <w:szCs w:val="21"/>
          <w:lang w:val="en-US" w:eastAsia="zh-CN"/>
        </w:rPr>
        <w:t>中滑坡致灾因子相关研究成果</w:t>
      </w:r>
      <w:r>
        <w:rPr>
          <w:rFonts w:hint="eastAsia" w:ascii="Times New Roman" w:hAnsi="Times New Roman" w:eastAsia="仿宋_GB2312" w:cs="Times New Roman"/>
          <w:color w:val="000000"/>
          <w:kern w:val="0"/>
          <w:sz w:val="32"/>
          <w:szCs w:val="21"/>
        </w:rPr>
        <w:t>。表A.4中破坏后果参照潜在影响人数和潜在经济损失分为“很严重”“严重”“一般”三个等级，与行业现行标准保持一致。</w:t>
      </w:r>
    </w:p>
    <w:p w14:paraId="10E07B6B">
      <w:pPr>
        <w:pStyle w:val="16"/>
        <w:keepNext w:val="0"/>
        <w:keepLines w:val="0"/>
        <w:pageBreakBefore w:val="0"/>
        <w:widowControl w:val="0"/>
        <w:numPr>
          <w:ilvl w:val="0"/>
          <w:numId w:val="1"/>
        </w:numPr>
        <w:kinsoku/>
        <w:wordWrap/>
        <w:overflowPunct/>
        <w:topLinePunct w:val="0"/>
        <w:autoSpaceDE/>
        <w:autoSpaceDN/>
        <w:bidi w:val="0"/>
        <w:adjustRightInd/>
        <w:snapToGrid/>
        <w:spacing w:line="360" w:lineRule="auto"/>
        <w:ind w:left="170" w:leftChars="0" w:hanging="170" w:firstLineChars="0"/>
        <w:jc w:val="left"/>
        <w:textAlignment w:val="auto"/>
        <w:rPr>
          <w:rFonts w:hint="eastAsia" w:ascii="Times New Roman" w:hAnsi="Times New Roman" w:eastAsia="仿宋_GB2312"/>
          <w:b/>
          <w:bCs/>
          <w:sz w:val="32"/>
          <w:szCs w:val="32"/>
          <w:lang w:val="en-US" w:eastAsia="zh-CN"/>
        </w:rPr>
      </w:pPr>
      <w:r>
        <w:rPr>
          <w:rFonts w:hint="eastAsia" w:ascii="Times New Roman" w:hAnsi="Times New Roman" w:eastAsia="仿宋_GB2312"/>
          <w:b/>
          <w:bCs/>
          <w:sz w:val="32"/>
          <w:szCs w:val="32"/>
          <w:lang w:val="en-US" w:eastAsia="zh-CN"/>
        </w:rPr>
        <w:t>监测对象及范围（条款5.2及附录B）</w:t>
      </w:r>
    </w:p>
    <w:p w14:paraId="3AF0E0C3">
      <w:pPr>
        <w:spacing w:line="360" w:lineRule="auto"/>
        <w:ind w:firstLine="640" w:firstLineChars="200"/>
        <w:rPr>
          <w:rFonts w:hint="eastAsia" w:ascii="Times New Roman" w:hAnsi="Times New Roman" w:eastAsia="仿宋_GB2312" w:cs="Times New Roman"/>
          <w:color w:val="000000"/>
          <w:kern w:val="0"/>
          <w:sz w:val="32"/>
          <w:szCs w:val="21"/>
        </w:rPr>
      </w:pPr>
      <w:r>
        <w:rPr>
          <w:rFonts w:hint="eastAsia" w:ascii="Times New Roman" w:hAnsi="Times New Roman" w:eastAsia="仿宋_GB2312" w:cs="Times New Roman"/>
          <w:color w:val="000000"/>
          <w:kern w:val="0"/>
          <w:sz w:val="32"/>
          <w:szCs w:val="21"/>
        </w:rPr>
        <w:t>说明： 本条款将公路边坡自动化监测对象分为路堤边坡和路堑边坡两类。附录B对两类边坡的自动化监测范围进行了详细规定：路堑边坡监测范围包括边坡体和坡顶外影响区宽度，坡顶影响区宽度不宜小于路堑边坡开挖高度；高填路堤边坡监测范围包括路堤坡体、坡顶影响区及坡脚影响区宽度，坡脚外影响区宽度不宜小于路堤边坡最大填筑面垂直高度；陡坡路堤监测范围包括迎坡面、路面及背坡面范围。该规定综合参考了交通运输部《公路边坡监测试点技术指南》</w:t>
      </w:r>
      <w:r>
        <w:rPr>
          <w:rFonts w:hint="eastAsia" w:ascii="Times New Roman" w:hAnsi="Times New Roman" w:eastAsia="仿宋_GB2312" w:cs="Times New Roman"/>
          <w:color w:val="000000"/>
          <w:kern w:val="0"/>
          <w:sz w:val="32"/>
          <w:szCs w:val="21"/>
          <w:lang w:eastAsia="zh-CN"/>
        </w:rPr>
        <w:t>、</w:t>
      </w:r>
      <w:r>
        <w:rPr>
          <w:rFonts w:hint="eastAsia" w:ascii="Times New Roman" w:hAnsi="Times New Roman" w:eastAsia="仿宋_GB2312" w:cs="Times New Roman"/>
          <w:color w:val="000000"/>
          <w:kern w:val="0"/>
          <w:sz w:val="32"/>
          <w:szCs w:val="21"/>
        </w:rPr>
        <w:t>湖北地标、福建地标等对监测范围的要求，并结合工程实践进行了量化。</w:t>
      </w:r>
    </w:p>
    <w:p w14:paraId="3D1D33FD">
      <w:pPr>
        <w:pStyle w:val="16"/>
        <w:keepNext w:val="0"/>
        <w:keepLines w:val="0"/>
        <w:pageBreakBefore w:val="0"/>
        <w:widowControl w:val="0"/>
        <w:numPr>
          <w:ilvl w:val="0"/>
          <w:numId w:val="1"/>
        </w:numPr>
        <w:kinsoku/>
        <w:wordWrap/>
        <w:overflowPunct/>
        <w:topLinePunct w:val="0"/>
        <w:autoSpaceDE/>
        <w:autoSpaceDN/>
        <w:bidi w:val="0"/>
        <w:adjustRightInd/>
        <w:snapToGrid/>
        <w:spacing w:line="360" w:lineRule="auto"/>
        <w:ind w:left="170" w:leftChars="0" w:hanging="170" w:firstLineChars="0"/>
        <w:jc w:val="left"/>
        <w:textAlignment w:val="auto"/>
        <w:rPr>
          <w:rFonts w:hint="eastAsia" w:ascii="Times New Roman" w:hAnsi="Times New Roman" w:eastAsia="仿宋_GB2312"/>
          <w:b/>
          <w:bCs/>
          <w:sz w:val="32"/>
          <w:szCs w:val="32"/>
          <w:lang w:val="en-US" w:eastAsia="zh-CN"/>
        </w:rPr>
      </w:pPr>
      <w:r>
        <w:rPr>
          <w:rFonts w:hint="eastAsia" w:ascii="Times New Roman" w:hAnsi="Times New Roman" w:eastAsia="仿宋_GB2312"/>
          <w:b/>
          <w:bCs/>
          <w:sz w:val="32"/>
          <w:szCs w:val="32"/>
          <w:lang w:val="en-US" w:eastAsia="zh-CN"/>
        </w:rPr>
        <w:t>监测内容及选用（条款5.3）</w:t>
      </w:r>
    </w:p>
    <w:p w14:paraId="221CE20E">
      <w:pPr>
        <w:spacing w:line="360" w:lineRule="auto"/>
        <w:ind w:firstLine="640" w:firstLineChars="200"/>
        <w:rPr>
          <w:rFonts w:hint="eastAsia" w:ascii="Times New Roman" w:hAnsi="Times New Roman" w:eastAsia="仿宋_GB2312" w:cs="Times New Roman"/>
          <w:color w:val="000000"/>
          <w:kern w:val="0"/>
          <w:sz w:val="32"/>
          <w:szCs w:val="21"/>
          <w:lang w:eastAsia="zh-CN"/>
        </w:rPr>
      </w:pPr>
      <w:r>
        <w:rPr>
          <w:rFonts w:hint="eastAsia" w:ascii="Times New Roman" w:hAnsi="Times New Roman" w:eastAsia="仿宋_GB2312" w:cs="Times New Roman"/>
          <w:color w:val="000000"/>
          <w:kern w:val="0"/>
          <w:sz w:val="32"/>
          <w:szCs w:val="21"/>
        </w:rPr>
        <w:t>说明： 本条款在系统调研全国11份边坡监测标准的基础上确定监测内容及选用原则。调研结果显示，各标准对监测内容的选用和重要性等级划分存在差异。本规程综合考虑以下因素确定了监测内容选用</w:t>
      </w:r>
      <w:r>
        <w:rPr>
          <w:rFonts w:hint="eastAsia" w:ascii="Times New Roman" w:hAnsi="Times New Roman" w:eastAsia="仿宋_GB2312" w:cs="Times New Roman"/>
          <w:color w:val="000000"/>
          <w:kern w:val="0"/>
          <w:sz w:val="32"/>
          <w:szCs w:val="21"/>
          <w:lang w:eastAsia="zh-CN"/>
        </w:rPr>
        <w:t>。</w:t>
      </w:r>
    </w:p>
    <w:p w14:paraId="626DED4B">
      <w:pPr>
        <w:spacing w:line="360" w:lineRule="auto"/>
        <w:ind w:firstLine="640" w:firstLineChars="200"/>
        <w:rPr>
          <w:rFonts w:hint="eastAsia" w:ascii="Times New Roman" w:hAnsi="Times New Roman" w:eastAsia="仿宋_GB2312" w:cs="Times New Roman"/>
          <w:color w:val="000000"/>
          <w:kern w:val="0"/>
          <w:sz w:val="32"/>
          <w:szCs w:val="21"/>
          <w:lang w:val="en-US" w:eastAsia="zh-CN"/>
        </w:rPr>
      </w:pPr>
      <w:r>
        <w:rPr>
          <w:rFonts w:hint="eastAsia" w:ascii="Times New Roman" w:hAnsi="Times New Roman" w:eastAsia="仿宋_GB2312" w:cs="Times New Roman"/>
          <w:color w:val="000000"/>
          <w:kern w:val="0"/>
          <w:sz w:val="32"/>
          <w:szCs w:val="21"/>
          <w:lang w:val="en-US" w:eastAsia="zh-CN"/>
        </w:rPr>
        <w:t>调研过程中将监测内容的重要性等级由高至低分别为Ⅰ-Ⅳ：Ⅰ代表监测等级为一至三级边坡该监测内容均为必测；Ⅱ代表只有监测等级为一级和二级的边坡该监测内容为必测；Ⅲ代表只有监测等级为一级的边坡该监测内容为必测；Ⅳ代表所有监测等级的边坡该监测内容均不为必测；调研结果如下表所示：</w:t>
      </w:r>
    </w:p>
    <w:p w14:paraId="5DFCD363">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黑体" w:hAnsi="黑体" w:eastAsia="黑体" w:cs="黑体"/>
          <w:color w:val="000000"/>
          <w:kern w:val="0"/>
          <w:sz w:val="28"/>
          <w:szCs w:val="28"/>
          <w:lang w:val="en-US" w:eastAsia="zh-CN"/>
        </w:rPr>
      </w:pPr>
      <w:r>
        <w:rPr>
          <w:rFonts w:hint="eastAsia" w:ascii="黑体" w:hAnsi="黑体" w:eastAsia="黑体" w:cs="黑体"/>
          <w:color w:val="000000"/>
          <w:kern w:val="0"/>
          <w:sz w:val="28"/>
          <w:szCs w:val="28"/>
          <w:lang w:val="en-US" w:eastAsia="zh-CN"/>
        </w:rPr>
        <w:t>表1 现行边坡监测标准</w:t>
      </w:r>
    </w:p>
    <w:tbl>
      <w:tblPr>
        <w:tblStyle w:val="12"/>
        <w:tblW w:w="89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945"/>
        <w:gridCol w:w="4410"/>
        <w:gridCol w:w="2934"/>
      </w:tblGrid>
      <w:tr w14:paraId="7EA28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dxa"/>
            <w:vAlign w:val="center"/>
          </w:tcPr>
          <w:p w14:paraId="59843185">
            <w:pPr>
              <w:spacing w:line="360" w:lineRule="auto"/>
              <w:jc w:val="center"/>
              <w:rPr>
                <w:rFonts w:ascii="Times New Roman" w:hAnsi="Times New Roman" w:eastAsia="仿宋_GB2312"/>
                <w:sz w:val="21"/>
                <w:szCs w:val="21"/>
              </w:rPr>
            </w:pPr>
            <w:r>
              <w:rPr>
                <w:rFonts w:hint="eastAsia" w:ascii="Times New Roman" w:hAnsi="Times New Roman" w:eastAsia="仿宋_GB2312"/>
                <w:sz w:val="21"/>
                <w:szCs w:val="21"/>
              </w:rPr>
              <w:t>序号</w:t>
            </w:r>
          </w:p>
        </w:tc>
        <w:tc>
          <w:tcPr>
            <w:tcW w:w="945" w:type="dxa"/>
            <w:vAlign w:val="center"/>
          </w:tcPr>
          <w:p w14:paraId="65B67979">
            <w:pPr>
              <w:spacing w:line="360" w:lineRule="auto"/>
              <w:jc w:val="center"/>
              <w:rPr>
                <w:rFonts w:ascii="Times New Roman" w:hAnsi="Times New Roman" w:eastAsia="仿宋_GB2312"/>
                <w:sz w:val="21"/>
                <w:szCs w:val="21"/>
              </w:rPr>
            </w:pPr>
            <w:r>
              <w:rPr>
                <w:rFonts w:hint="eastAsia" w:ascii="Times New Roman" w:hAnsi="Times New Roman" w:eastAsia="仿宋_GB2312"/>
                <w:sz w:val="21"/>
                <w:szCs w:val="21"/>
              </w:rPr>
              <w:t>监测内容</w:t>
            </w:r>
          </w:p>
        </w:tc>
        <w:tc>
          <w:tcPr>
            <w:tcW w:w="4410" w:type="dxa"/>
            <w:vAlign w:val="center"/>
          </w:tcPr>
          <w:p w14:paraId="11F99C65">
            <w:pPr>
              <w:spacing w:line="360" w:lineRule="auto"/>
              <w:jc w:val="center"/>
              <w:rPr>
                <w:rFonts w:hint="eastAsia" w:ascii="Times New Roman" w:hAnsi="Times New Roman" w:eastAsia="仿宋_GB2312"/>
                <w:sz w:val="21"/>
                <w:szCs w:val="21"/>
                <w:lang w:eastAsia="zh-CN"/>
              </w:rPr>
            </w:pPr>
            <w:r>
              <w:rPr>
                <w:rFonts w:hint="eastAsia" w:ascii="Times New Roman" w:hAnsi="Times New Roman" w:eastAsia="仿宋_GB2312"/>
                <w:sz w:val="21"/>
                <w:szCs w:val="21"/>
              </w:rPr>
              <w:t>监测必要性及</w:t>
            </w:r>
            <w:r>
              <w:rPr>
                <w:rFonts w:hint="eastAsia" w:ascii="Times New Roman" w:hAnsi="Times New Roman" w:eastAsia="仿宋_GB2312"/>
                <w:sz w:val="21"/>
                <w:szCs w:val="21"/>
                <w:lang w:val="en-US" w:eastAsia="zh-CN"/>
              </w:rPr>
              <w:t>原因</w:t>
            </w:r>
          </w:p>
        </w:tc>
        <w:tc>
          <w:tcPr>
            <w:tcW w:w="2934" w:type="dxa"/>
            <w:vAlign w:val="center"/>
          </w:tcPr>
          <w:p w14:paraId="3A3D3AE5">
            <w:pPr>
              <w:spacing w:line="360" w:lineRule="auto"/>
              <w:jc w:val="center"/>
              <w:rPr>
                <w:rFonts w:hint="default" w:ascii="Times New Roman" w:hAnsi="Times New Roman" w:eastAsia="仿宋_GB2312"/>
                <w:sz w:val="21"/>
                <w:szCs w:val="21"/>
                <w:lang w:val="en-US" w:eastAsia="zh-CN"/>
              </w:rPr>
            </w:pPr>
            <w:r>
              <w:rPr>
                <w:rFonts w:hint="eastAsia" w:ascii="Times New Roman" w:hAnsi="Times New Roman" w:eastAsia="仿宋_GB2312"/>
                <w:sz w:val="21"/>
                <w:szCs w:val="21"/>
                <w:lang w:val="en-US" w:eastAsia="zh-CN"/>
              </w:rPr>
              <w:t>标准调研结果</w:t>
            </w:r>
          </w:p>
        </w:tc>
      </w:tr>
      <w:tr w14:paraId="70454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dxa"/>
            <w:vAlign w:val="center"/>
          </w:tcPr>
          <w:p w14:paraId="0279E913">
            <w:pPr>
              <w:spacing w:line="360" w:lineRule="auto"/>
              <w:jc w:val="center"/>
              <w:rPr>
                <w:rFonts w:ascii="Times New Roman" w:hAnsi="Times New Roman" w:eastAsia="仿宋_GB2312"/>
                <w:sz w:val="21"/>
                <w:szCs w:val="21"/>
              </w:rPr>
            </w:pPr>
            <w:r>
              <w:rPr>
                <w:rFonts w:hint="eastAsia" w:ascii="Times New Roman" w:hAnsi="Times New Roman" w:eastAsia="仿宋_GB2312"/>
                <w:sz w:val="21"/>
                <w:szCs w:val="21"/>
              </w:rPr>
              <w:t>1</w:t>
            </w:r>
          </w:p>
        </w:tc>
        <w:tc>
          <w:tcPr>
            <w:tcW w:w="945" w:type="dxa"/>
            <w:vAlign w:val="center"/>
          </w:tcPr>
          <w:p w14:paraId="4FF36BC7">
            <w:pPr>
              <w:spacing w:line="360" w:lineRule="auto"/>
              <w:jc w:val="center"/>
              <w:rPr>
                <w:rFonts w:hint="default" w:ascii="Times New Roman" w:hAnsi="Times New Roman" w:eastAsia="仿宋_GB2312"/>
                <w:sz w:val="21"/>
                <w:szCs w:val="21"/>
                <w:lang w:val="en-US" w:eastAsia="zh-CN"/>
              </w:rPr>
            </w:pPr>
            <w:r>
              <w:rPr>
                <w:rFonts w:hint="eastAsia" w:ascii="Times New Roman" w:hAnsi="Times New Roman" w:eastAsia="仿宋_GB2312"/>
                <w:sz w:val="21"/>
                <w:szCs w:val="21"/>
                <w:lang w:val="en-US" w:eastAsia="zh-CN"/>
              </w:rPr>
              <w:t>表面变形监测</w:t>
            </w:r>
          </w:p>
        </w:tc>
        <w:tc>
          <w:tcPr>
            <w:tcW w:w="4410" w:type="dxa"/>
            <w:vAlign w:val="center"/>
          </w:tcPr>
          <w:p w14:paraId="7B8EFFD8">
            <w:pPr>
              <w:spacing w:line="360" w:lineRule="auto"/>
              <w:jc w:val="center"/>
              <w:rPr>
                <w:rFonts w:ascii="Times New Roman" w:hAnsi="Times New Roman" w:eastAsia="仿宋_GB2312"/>
                <w:sz w:val="21"/>
                <w:szCs w:val="21"/>
              </w:rPr>
            </w:pPr>
            <w:r>
              <w:rPr>
                <w:rFonts w:hint="eastAsia" w:ascii="Times New Roman" w:hAnsi="Times New Roman" w:eastAsia="仿宋_GB2312"/>
                <w:sz w:val="21"/>
                <w:szCs w:val="21"/>
                <w:lang w:val="en-US" w:eastAsia="zh-CN"/>
              </w:rPr>
              <w:t>结合调研结果来看，各监测等级均为应测</w:t>
            </w:r>
            <w:r>
              <w:rPr>
                <w:rFonts w:hint="eastAsia" w:ascii="Times New Roman" w:hAnsi="Times New Roman" w:eastAsia="仿宋_GB2312"/>
                <w:sz w:val="21"/>
                <w:szCs w:val="21"/>
              </w:rPr>
              <w:t>；</w:t>
            </w:r>
          </w:p>
        </w:tc>
        <w:tc>
          <w:tcPr>
            <w:tcW w:w="2934" w:type="dxa"/>
            <w:vAlign w:val="center"/>
          </w:tcPr>
          <w:p w14:paraId="33ABF0C2">
            <w:pPr>
              <w:spacing w:line="360" w:lineRule="auto"/>
              <w:jc w:val="center"/>
              <w:rPr>
                <w:rFonts w:ascii="Times New Roman" w:hAnsi="Times New Roman" w:eastAsia="仿宋_GB2312"/>
                <w:sz w:val="21"/>
                <w:szCs w:val="21"/>
              </w:rPr>
            </w:pPr>
            <w:r>
              <w:rPr>
                <w:rFonts w:hint="eastAsia" w:ascii="Times New Roman" w:hAnsi="Times New Roman" w:eastAsia="仿宋_GB2312"/>
                <w:sz w:val="21"/>
                <w:szCs w:val="21"/>
              </w:rPr>
              <w:t>调研标准均将其列为必测项，且重要性等级为</w:t>
            </w:r>
            <w:r>
              <w:rPr>
                <w:rFonts w:hint="eastAsia" w:ascii="Times New Roman" w:hAnsi="Times New Roman" w:eastAsia="仿宋_GB2312"/>
                <w:sz w:val="21"/>
                <w:szCs w:val="21"/>
                <w:lang w:val="en-US" w:eastAsia="zh-CN"/>
              </w:rPr>
              <w:t>Ⅰ</w:t>
            </w:r>
            <w:r>
              <w:rPr>
                <w:rFonts w:hint="eastAsia" w:ascii="Times New Roman" w:hAnsi="Times New Roman" w:eastAsia="仿宋_GB2312"/>
                <w:sz w:val="21"/>
                <w:szCs w:val="21"/>
              </w:rPr>
              <w:t>；</w:t>
            </w:r>
          </w:p>
        </w:tc>
      </w:tr>
      <w:tr w14:paraId="7DAA2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dxa"/>
            <w:vAlign w:val="center"/>
          </w:tcPr>
          <w:p w14:paraId="3444332F">
            <w:pPr>
              <w:spacing w:line="360" w:lineRule="auto"/>
              <w:jc w:val="center"/>
              <w:rPr>
                <w:rFonts w:ascii="Times New Roman" w:hAnsi="Times New Roman" w:eastAsia="仿宋_GB2312"/>
                <w:sz w:val="21"/>
                <w:szCs w:val="21"/>
              </w:rPr>
            </w:pPr>
            <w:r>
              <w:rPr>
                <w:rFonts w:hint="eastAsia" w:ascii="Times New Roman" w:hAnsi="Times New Roman" w:eastAsia="仿宋_GB2312"/>
                <w:sz w:val="21"/>
                <w:szCs w:val="21"/>
              </w:rPr>
              <w:t>2</w:t>
            </w:r>
          </w:p>
        </w:tc>
        <w:tc>
          <w:tcPr>
            <w:tcW w:w="945" w:type="dxa"/>
            <w:vAlign w:val="center"/>
          </w:tcPr>
          <w:p w14:paraId="73DC84B8">
            <w:pPr>
              <w:spacing w:line="360" w:lineRule="auto"/>
              <w:jc w:val="center"/>
              <w:rPr>
                <w:rFonts w:hint="default" w:ascii="Times New Roman" w:hAnsi="Times New Roman" w:eastAsia="仿宋_GB2312"/>
                <w:sz w:val="21"/>
                <w:szCs w:val="21"/>
                <w:lang w:val="en-US" w:eastAsia="zh-CN"/>
              </w:rPr>
            </w:pPr>
            <w:r>
              <w:rPr>
                <w:rFonts w:hint="eastAsia" w:ascii="Times New Roman" w:hAnsi="Times New Roman" w:eastAsia="仿宋_GB2312"/>
                <w:sz w:val="21"/>
                <w:szCs w:val="21"/>
                <w:lang w:val="en-US" w:eastAsia="zh-CN"/>
              </w:rPr>
              <w:t>深部变形监测</w:t>
            </w:r>
          </w:p>
        </w:tc>
        <w:tc>
          <w:tcPr>
            <w:tcW w:w="4410" w:type="dxa"/>
            <w:vAlign w:val="center"/>
          </w:tcPr>
          <w:p w14:paraId="422E09EC">
            <w:pPr>
              <w:spacing w:line="360" w:lineRule="auto"/>
              <w:jc w:val="center"/>
              <w:rPr>
                <w:rFonts w:hint="default" w:ascii="Times New Roman" w:hAnsi="Times New Roman" w:eastAsia="仿宋_GB2312"/>
                <w:sz w:val="21"/>
                <w:szCs w:val="21"/>
                <w:lang w:val="en-US" w:eastAsia="zh-CN"/>
              </w:rPr>
            </w:pPr>
            <w:r>
              <w:rPr>
                <w:rFonts w:hint="eastAsia" w:ascii="Times New Roman" w:hAnsi="Times New Roman" w:eastAsia="仿宋_GB2312"/>
                <w:sz w:val="21"/>
                <w:szCs w:val="21"/>
                <w:lang w:val="en-US" w:eastAsia="zh-CN"/>
              </w:rPr>
              <w:t>从标准调研结果来看深部变形监测可不为必测项</w:t>
            </w:r>
            <w:r>
              <w:rPr>
                <w:rFonts w:hint="eastAsia" w:ascii="Times New Roman" w:hAnsi="Times New Roman" w:eastAsia="仿宋_GB2312"/>
                <w:sz w:val="21"/>
                <w:szCs w:val="21"/>
              </w:rPr>
              <w:t>；</w:t>
            </w:r>
            <w:r>
              <w:rPr>
                <w:rFonts w:hint="eastAsia" w:ascii="Times New Roman" w:hAnsi="Times New Roman" w:eastAsia="仿宋_GB2312"/>
                <w:sz w:val="21"/>
                <w:szCs w:val="21"/>
                <w:lang w:val="en-US" w:eastAsia="zh-CN"/>
              </w:rPr>
              <w:t>工程实地调研结果显示，深部变形监测可以有效确定滑面位置，对高等级边坡加固措施确定有重要意义，因此设置监测等级为一级的边坡为应测；</w:t>
            </w:r>
          </w:p>
        </w:tc>
        <w:tc>
          <w:tcPr>
            <w:tcW w:w="2934" w:type="dxa"/>
            <w:vAlign w:val="center"/>
          </w:tcPr>
          <w:p w14:paraId="4C8B69E7">
            <w:pPr>
              <w:spacing w:line="360" w:lineRule="auto"/>
              <w:jc w:val="center"/>
              <w:rPr>
                <w:rFonts w:ascii="Times New Roman" w:hAnsi="Times New Roman" w:eastAsia="仿宋_GB2312"/>
                <w:sz w:val="21"/>
                <w:szCs w:val="21"/>
              </w:rPr>
            </w:pPr>
            <w:r>
              <w:rPr>
                <w:rFonts w:hint="eastAsia" w:ascii="Times New Roman" w:hAnsi="Times New Roman" w:eastAsia="仿宋_GB2312"/>
                <w:sz w:val="21"/>
                <w:szCs w:val="21"/>
              </w:rPr>
              <w:t>建筑国标未列该监测项，路基规范列出该监测项未明确选用标准；湖北、河南、湖南、广东和陕西地标重要性等级为</w:t>
            </w:r>
            <w:r>
              <w:rPr>
                <w:rFonts w:hint="eastAsia" w:ascii="Times New Roman" w:hAnsi="Times New Roman" w:eastAsia="仿宋_GB2312"/>
                <w:sz w:val="21"/>
                <w:szCs w:val="21"/>
                <w:lang w:val="en-US" w:eastAsia="zh-CN"/>
              </w:rPr>
              <w:t>Ⅲ</w:t>
            </w:r>
            <w:r>
              <w:rPr>
                <w:rFonts w:hint="eastAsia" w:ascii="Times New Roman" w:hAnsi="Times New Roman" w:eastAsia="仿宋_GB2312"/>
                <w:sz w:val="21"/>
                <w:szCs w:val="21"/>
              </w:rPr>
              <w:t>，福建地标中重要性等级为</w:t>
            </w:r>
            <w:r>
              <w:rPr>
                <w:rFonts w:hint="eastAsia" w:ascii="Times New Roman" w:hAnsi="Times New Roman" w:eastAsia="仿宋_GB2312"/>
                <w:sz w:val="21"/>
                <w:szCs w:val="21"/>
                <w:lang w:val="en-US" w:eastAsia="zh-CN"/>
              </w:rPr>
              <w:t>Ⅰ</w:t>
            </w:r>
            <w:r>
              <w:rPr>
                <w:rFonts w:hint="eastAsia" w:ascii="Times New Roman" w:hAnsi="Times New Roman" w:eastAsia="仿宋_GB2312"/>
                <w:sz w:val="21"/>
                <w:szCs w:val="21"/>
              </w:rPr>
              <w:t>；</w:t>
            </w:r>
          </w:p>
        </w:tc>
      </w:tr>
      <w:tr w14:paraId="643E3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dxa"/>
            <w:vAlign w:val="center"/>
          </w:tcPr>
          <w:p w14:paraId="4FA3BBF5">
            <w:pPr>
              <w:spacing w:line="360" w:lineRule="auto"/>
              <w:jc w:val="center"/>
              <w:rPr>
                <w:rFonts w:ascii="Times New Roman" w:hAnsi="Times New Roman" w:eastAsia="仿宋_GB2312"/>
                <w:sz w:val="21"/>
                <w:szCs w:val="21"/>
              </w:rPr>
            </w:pPr>
            <w:r>
              <w:rPr>
                <w:rFonts w:hint="eastAsia" w:ascii="Times New Roman" w:hAnsi="Times New Roman" w:eastAsia="仿宋_GB2312"/>
                <w:sz w:val="21"/>
                <w:szCs w:val="21"/>
              </w:rPr>
              <w:t>3</w:t>
            </w:r>
          </w:p>
        </w:tc>
        <w:tc>
          <w:tcPr>
            <w:tcW w:w="945" w:type="dxa"/>
            <w:vAlign w:val="center"/>
          </w:tcPr>
          <w:p w14:paraId="17FD11EB">
            <w:pPr>
              <w:spacing w:line="360" w:lineRule="auto"/>
              <w:jc w:val="center"/>
              <w:rPr>
                <w:rFonts w:hint="eastAsia" w:ascii="Times New Roman" w:hAnsi="Times New Roman" w:eastAsia="仿宋_GB2312"/>
                <w:sz w:val="21"/>
                <w:szCs w:val="21"/>
                <w:lang w:val="en-US" w:eastAsia="zh-CN"/>
              </w:rPr>
            </w:pPr>
            <w:r>
              <w:rPr>
                <w:rFonts w:hint="eastAsia" w:ascii="Times New Roman" w:hAnsi="Times New Roman" w:eastAsia="仿宋_GB2312"/>
                <w:sz w:val="21"/>
                <w:szCs w:val="21"/>
              </w:rPr>
              <w:t>裂缝</w:t>
            </w:r>
            <w:r>
              <w:rPr>
                <w:rFonts w:hint="eastAsia" w:ascii="Times New Roman" w:hAnsi="Times New Roman" w:eastAsia="仿宋_GB2312"/>
                <w:sz w:val="21"/>
                <w:szCs w:val="21"/>
                <w:lang w:val="en-US" w:eastAsia="zh-CN"/>
              </w:rPr>
              <w:t>监测</w:t>
            </w:r>
          </w:p>
        </w:tc>
        <w:tc>
          <w:tcPr>
            <w:tcW w:w="4410" w:type="dxa"/>
            <w:vAlign w:val="center"/>
          </w:tcPr>
          <w:p w14:paraId="3000DF29">
            <w:pPr>
              <w:spacing w:line="360" w:lineRule="auto"/>
              <w:jc w:val="center"/>
              <w:rPr>
                <w:rFonts w:hint="default" w:ascii="Times New Roman" w:hAnsi="Times New Roman" w:eastAsia="仿宋_GB2312"/>
                <w:sz w:val="21"/>
                <w:szCs w:val="21"/>
                <w:lang w:val="en-US" w:eastAsia="zh-CN"/>
              </w:rPr>
            </w:pPr>
            <w:r>
              <w:rPr>
                <w:rFonts w:hint="eastAsia" w:ascii="Times New Roman" w:hAnsi="Times New Roman" w:eastAsia="仿宋_GB2312"/>
                <w:sz w:val="21"/>
                <w:szCs w:val="21"/>
                <w:lang w:val="en-US" w:eastAsia="zh-CN"/>
              </w:rPr>
              <w:t>从标准调研结果来看，裂缝监测属于重要监测项，各监测等级均为应测</w:t>
            </w:r>
            <w:r>
              <w:rPr>
                <w:rFonts w:hint="eastAsia" w:ascii="Times New Roman" w:hAnsi="Times New Roman" w:eastAsia="仿宋_GB2312"/>
                <w:sz w:val="21"/>
                <w:szCs w:val="21"/>
              </w:rPr>
              <w:t>；</w:t>
            </w:r>
            <w:r>
              <w:rPr>
                <w:rFonts w:hint="eastAsia" w:ascii="Times New Roman" w:hAnsi="Times New Roman" w:eastAsia="仿宋_GB2312"/>
                <w:sz w:val="21"/>
                <w:szCs w:val="21"/>
                <w:lang w:val="en-US" w:eastAsia="zh-CN"/>
              </w:rPr>
              <w:t>结合工程实地调研结果来看，新裂缝和发展中的裂缝对边坡稳定性评估具有重要意义，因此各监测等级边坡均设为应测；</w:t>
            </w:r>
          </w:p>
        </w:tc>
        <w:tc>
          <w:tcPr>
            <w:tcW w:w="2934" w:type="dxa"/>
            <w:vAlign w:val="center"/>
          </w:tcPr>
          <w:p w14:paraId="0E3FEA05">
            <w:pPr>
              <w:spacing w:line="360" w:lineRule="auto"/>
              <w:jc w:val="center"/>
              <w:rPr>
                <w:rFonts w:ascii="Times New Roman" w:hAnsi="Times New Roman" w:eastAsia="仿宋_GB2312"/>
                <w:sz w:val="21"/>
                <w:szCs w:val="21"/>
              </w:rPr>
            </w:pPr>
            <w:r>
              <w:rPr>
                <w:rFonts w:hint="eastAsia" w:ascii="Times New Roman" w:hAnsi="Times New Roman" w:eastAsia="仿宋_GB2312"/>
                <w:sz w:val="21"/>
                <w:szCs w:val="21"/>
              </w:rPr>
              <w:t>建筑国标、河南团标重要性等级为</w:t>
            </w:r>
            <w:r>
              <w:rPr>
                <w:rFonts w:hint="eastAsia" w:ascii="Times New Roman" w:hAnsi="Times New Roman" w:eastAsia="仿宋_GB2312"/>
                <w:sz w:val="21"/>
                <w:szCs w:val="21"/>
                <w:lang w:eastAsia="zh-CN"/>
              </w:rPr>
              <w:t>Ⅱ</w:t>
            </w:r>
            <w:r>
              <w:rPr>
                <w:rFonts w:hint="eastAsia" w:ascii="Times New Roman" w:hAnsi="Times New Roman" w:eastAsia="仿宋_GB2312"/>
                <w:sz w:val="21"/>
                <w:szCs w:val="21"/>
              </w:rPr>
              <w:t>；广东地标重要性等级为</w:t>
            </w:r>
            <w:r>
              <w:rPr>
                <w:rFonts w:hint="eastAsia" w:ascii="Times New Roman" w:hAnsi="Times New Roman" w:eastAsia="仿宋_GB2312"/>
                <w:sz w:val="21"/>
                <w:szCs w:val="21"/>
                <w:lang w:eastAsia="zh-CN"/>
              </w:rPr>
              <w:t>Ⅳ</w:t>
            </w:r>
            <w:r>
              <w:rPr>
                <w:rFonts w:hint="eastAsia" w:ascii="Times New Roman" w:hAnsi="Times New Roman" w:eastAsia="仿宋_GB2312"/>
                <w:sz w:val="21"/>
                <w:szCs w:val="21"/>
              </w:rPr>
              <w:t>；福建地标、湖北地标、重庆地标、河南地标、湖南地标重要性等级为</w:t>
            </w:r>
            <w:r>
              <w:rPr>
                <w:rFonts w:hint="eastAsia" w:ascii="Times New Roman" w:hAnsi="Times New Roman" w:eastAsia="仿宋_GB2312"/>
                <w:sz w:val="21"/>
                <w:szCs w:val="21"/>
                <w:lang w:eastAsia="zh-CN"/>
              </w:rPr>
              <w:t>Ⅰ</w:t>
            </w:r>
            <w:r>
              <w:rPr>
                <w:rFonts w:hint="eastAsia" w:ascii="Times New Roman" w:hAnsi="Times New Roman" w:eastAsia="仿宋_GB2312"/>
                <w:sz w:val="21"/>
                <w:szCs w:val="21"/>
              </w:rPr>
              <w:t>；</w:t>
            </w:r>
          </w:p>
        </w:tc>
      </w:tr>
      <w:tr w14:paraId="3C492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dxa"/>
            <w:vAlign w:val="center"/>
          </w:tcPr>
          <w:p w14:paraId="773EDC2A">
            <w:pPr>
              <w:spacing w:line="360" w:lineRule="auto"/>
              <w:jc w:val="center"/>
              <w:rPr>
                <w:rFonts w:ascii="Times New Roman" w:hAnsi="Times New Roman" w:eastAsia="仿宋_GB2312"/>
                <w:sz w:val="21"/>
                <w:szCs w:val="21"/>
              </w:rPr>
            </w:pPr>
            <w:r>
              <w:rPr>
                <w:rFonts w:hint="eastAsia" w:ascii="Times New Roman" w:hAnsi="Times New Roman" w:eastAsia="仿宋_GB2312"/>
                <w:sz w:val="21"/>
                <w:szCs w:val="21"/>
              </w:rPr>
              <w:t>4</w:t>
            </w:r>
          </w:p>
        </w:tc>
        <w:tc>
          <w:tcPr>
            <w:tcW w:w="945" w:type="dxa"/>
            <w:vAlign w:val="center"/>
          </w:tcPr>
          <w:p w14:paraId="68173D33">
            <w:pPr>
              <w:spacing w:line="360" w:lineRule="auto"/>
              <w:jc w:val="center"/>
              <w:rPr>
                <w:rFonts w:ascii="Times New Roman" w:hAnsi="Times New Roman" w:eastAsia="仿宋_GB2312"/>
                <w:sz w:val="21"/>
                <w:szCs w:val="21"/>
              </w:rPr>
            </w:pPr>
            <w:r>
              <w:rPr>
                <w:rFonts w:hint="eastAsia" w:ascii="Times New Roman" w:hAnsi="Times New Roman" w:eastAsia="仿宋_GB2312"/>
                <w:sz w:val="21"/>
                <w:szCs w:val="21"/>
              </w:rPr>
              <w:t>建（构）筑物变形监测</w:t>
            </w:r>
          </w:p>
        </w:tc>
        <w:tc>
          <w:tcPr>
            <w:tcW w:w="4410" w:type="dxa"/>
            <w:vAlign w:val="center"/>
          </w:tcPr>
          <w:p w14:paraId="6BB1686C">
            <w:pPr>
              <w:spacing w:line="360" w:lineRule="auto"/>
              <w:jc w:val="center"/>
              <w:rPr>
                <w:rFonts w:hint="default" w:ascii="Times New Roman" w:hAnsi="Times New Roman" w:eastAsia="仿宋_GB2312"/>
                <w:sz w:val="21"/>
                <w:szCs w:val="21"/>
                <w:lang w:val="en-US" w:eastAsia="zh-CN"/>
              </w:rPr>
            </w:pPr>
            <w:r>
              <w:rPr>
                <w:rFonts w:hint="eastAsia" w:ascii="Times New Roman" w:hAnsi="Times New Roman" w:eastAsia="仿宋_GB2312"/>
                <w:sz w:val="21"/>
                <w:szCs w:val="21"/>
                <w:lang w:val="en-US" w:eastAsia="zh-CN"/>
              </w:rPr>
              <w:t>标准调研结果显示，该监测项在监测等级为一级和二级的边坡中为应测</w:t>
            </w:r>
            <w:r>
              <w:rPr>
                <w:rFonts w:hint="eastAsia" w:ascii="Times New Roman" w:hAnsi="Times New Roman" w:eastAsia="仿宋_GB2312"/>
                <w:sz w:val="21"/>
                <w:szCs w:val="21"/>
              </w:rPr>
              <w:t>；</w:t>
            </w:r>
            <w:r>
              <w:rPr>
                <w:rFonts w:hint="eastAsia" w:ascii="Times New Roman" w:hAnsi="Times New Roman" w:eastAsia="仿宋_GB2312"/>
                <w:sz w:val="21"/>
                <w:szCs w:val="21"/>
                <w:lang w:val="en-US" w:eastAsia="zh-CN"/>
              </w:rPr>
              <w:t>结合实地调研结果来看，实际工程中对</w:t>
            </w:r>
            <w:r>
              <w:rPr>
                <w:rFonts w:hint="eastAsia" w:ascii="Times New Roman" w:hAnsi="Times New Roman" w:eastAsia="仿宋_GB2312"/>
                <w:sz w:val="21"/>
                <w:szCs w:val="21"/>
              </w:rPr>
              <w:t>建（构）筑物变形监测</w:t>
            </w:r>
            <w:r>
              <w:rPr>
                <w:rFonts w:hint="eastAsia" w:ascii="Times New Roman" w:hAnsi="Times New Roman" w:eastAsia="仿宋_GB2312"/>
                <w:sz w:val="21"/>
                <w:szCs w:val="21"/>
                <w:lang w:val="en-US" w:eastAsia="zh-CN"/>
              </w:rPr>
              <w:t>的实施难度较大，通常可以采用在边坡与</w:t>
            </w:r>
            <w:r>
              <w:rPr>
                <w:rFonts w:hint="eastAsia" w:ascii="Times New Roman" w:hAnsi="Times New Roman" w:eastAsia="仿宋_GB2312"/>
                <w:sz w:val="21"/>
                <w:szCs w:val="21"/>
              </w:rPr>
              <w:t>建（构）筑物</w:t>
            </w:r>
            <w:r>
              <w:rPr>
                <w:rFonts w:hint="eastAsia" w:ascii="Times New Roman" w:hAnsi="Times New Roman" w:eastAsia="仿宋_GB2312"/>
                <w:sz w:val="21"/>
                <w:szCs w:val="21"/>
                <w:lang w:val="en-US" w:eastAsia="zh-CN"/>
              </w:rPr>
              <w:t>之间设置监测点，因此</w:t>
            </w:r>
            <w:r>
              <w:rPr>
                <w:rFonts w:hint="eastAsia" w:ascii="Times New Roman" w:hAnsi="Times New Roman" w:eastAsia="仿宋_GB2312"/>
                <w:sz w:val="21"/>
                <w:szCs w:val="21"/>
              </w:rPr>
              <w:t>建（构）筑物变形监测</w:t>
            </w:r>
            <w:r>
              <w:rPr>
                <w:rFonts w:hint="eastAsia" w:ascii="Times New Roman" w:hAnsi="Times New Roman" w:eastAsia="仿宋_GB2312"/>
                <w:sz w:val="21"/>
                <w:szCs w:val="21"/>
                <w:lang w:val="en-US" w:eastAsia="zh-CN"/>
              </w:rPr>
              <w:t>可不为应测；</w:t>
            </w:r>
          </w:p>
        </w:tc>
        <w:tc>
          <w:tcPr>
            <w:tcW w:w="2934" w:type="dxa"/>
            <w:vAlign w:val="center"/>
          </w:tcPr>
          <w:p w14:paraId="297A0152">
            <w:pPr>
              <w:spacing w:line="360" w:lineRule="auto"/>
              <w:jc w:val="center"/>
              <w:rPr>
                <w:rFonts w:ascii="Times New Roman" w:hAnsi="Times New Roman" w:eastAsia="仿宋_GB2312"/>
                <w:sz w:val="21"/>
                <w:szCs w:val="21"/>
              </w:rPr>
            </w:pPr>
            <w:r>
              <w:rPr>
                <w:rFonts w:hint="eastAsia" w:ascii="Times New Roman" w:hAnsi="Times New Roman" w:eastAsia="仿宋_GB2312"/>
                <w:sz w:val="21"/>
                <w:szCs w:val="21"/>
              </w:rPr>
              <w:t>建筑国标、福建地标、河南团标、重庆地标、湖南地标重要性等级为</w:t>
            </w:r>
            <w:r>
              <w:rPr>
                <w:rFonts w:hint="eastAsia" w:ascii="Times New Roman" w:hAnsi="Times New Roman" w:eastAsia="仿宋_GB2312"/>
                <w:sz w:val="21"/>
                <w:szCs w:val="21"/>
                <w:lang w:eastAsia="zh-CN"/>
              </w:rPr>
              <w:t>Ⅱ</w:t>
            </w:r>
            <w:r>
              <w:rPr>
                <w:rFonts w:hint="eastAsia" w:ascii="Times New Roman" w:hAnsi="Times New Roman" w:eastAsia="仿宋_GB2312"/>
                <w:sz w:val="21"/>
                <w:szCs w:val="21"/>
              </w:rPr>
              <w:t>；湖北地标重要性等级为</w:t>
            </w:r>
            <w:r>
              <w:rPr>
                <w:rFonts w:hint="eastAsia" w:ascii="Times New Roman" w:hAnsi="Times New Roman" w:eastAsia="仿宋_GB2312"/>
                <w:sz w:val="21"/>
                <w:szCs w:val="21"/>
                <w:lang w:eastAsia="zh-CN"/>
              </w:rPr>
              <w:t>Ⅰ</w:t>
            </w:r>
            <w:r>
              <w:rPr>
                <w:rFonts w:hint="eastAsia" w:ascii="Times New Roman" w:hAnsi="Times New Roman" w:eastAsia="仿宋_GB2312"/>
                <w:sz w:val="21"/>
                <w:szCs w:val="21"/>
              </w:rPr>
              <w:t>；</w:t>
            </w:r>
          </w:p>
        </w:tc>
      </w:tr>
      <w:tr w14:paraId="46D05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dxa"/>
            <w:vAlign w:val="center"/>
          </w:tcPr>
          <w:p w14:paraId="6134DB73">
            <w:pPr>
              <w:spacing w:line="360" w:lineRule="auto"/>
              <w:jc w:val="center"/>
              <w:rPr>
                <w:rFonts w:ascii="Times New Roman" w:hAnsi="Times New Roman" w:eastAsia="仿宋_GB2312"/>
                <w:sz w:val="21"/>
                <w:szCs w:val="21"/>
              </w:rPr>
            </w:pPr>
            <w:r>
              <w:rPr>
                <w:rFonts w:hint="eastAsia" w:ascii="Times New Roman" w:hAnsi="Times New Roman" w:eastAsia="仿宋_GB2312"/>
                <w:sz w:val="21"/>
                <w:szCs w:val="21"/>
              </w:rPr>
              <w:t>5</w:t>
            </w:r>
          </w:p>
        </w:tc>
        <w:tc>
          <w:tcPr>
            <w:tcW w:w="945" w:type="dxa"/>
            <w:vAlign w:val="center"/>
          </w:tcPr>
          <w:p w14:paraId="25D9F1AF">
            <w:pPr>
              <w:spacing w:line="360" w:lineRule="auto"/>
              <w:jc w:val="center"/>
              <w:rPr>
                <w:rFonts w:hint="default" w:ascii="Times New Roman" w:hAnsi="Times New Roman" w:eastAsia="仿宋_GB2312"/>
                <w:sz w:val="21"/>
                <w:szCs w:val="21"/>
                <w:lang w:val="en-US" w:eastAsia="zh-CN"/>
              </w:rPr>
            </w:pPr>
            <w:r>
              <w:rPr>
                <w:rFonts w:hint="eastAsia" w:ascii="Times New Roman" w:hAnsi="Times New Roman" w:eastAsia="仿宋_GB2312"/>
                <w:sz w:val="21"/>
                <w:szCs w:val="21"/>
              </w:rPr>
              <w:t>降雨</w:t>
            </w:r>
            <w:r>
              <w:rPr>
                <w:rFonts w:hint="eastAsia" w:ascii="Times New Roman" w:hAnsi="Times New Roman" w:eastAsia="仿宋_GB2312"/>
                <w:sz w:val="21"/>
                <w:szCs w:val="21"/>
                <w:lang w:val="en-US" w:eastAsia="zh-CN"/>
              </w:rPr>
              <w:t>量监测</w:t>
            </w:r>
          </w:p>
        </w:tc>
        <w:tc>
          <w:tcPr>
            <w:tcW w:w="4410" w:type="dxa"/>
            <w:vAlign w:val="center"/>
          </w:tcPr>
          <w:p w14:paraId="665D734A">
            <w:pPr>
              <w:spacing w:line="360" w:lineRule="auto"/>
              <w:jc w:val="center"/>
              <w:rPr>
                <w:rFonts w:hint="default" w:ascii="Times New Roman" w:hAnsi="Times New Roman" w:eastAsia="仿宋_GB2312"/>
                <w:sz w:val="21"/>
                <w:szCs w:val="21"/>
                <w:lang w:val="en-US" w:eastAsia="zh-CN"/>
              </w:rPr>
            </w:pPr>
            <w:r>
              <w:rPr>
                <w:rFonts w:hint="eastAsia" w:ascii="Times New Roman" w:hAnsi="Times New Roman" w:eastAsia="仿宋_GB2312"/>
                <w:sz w:val="21"/>
                <w:szCs w:val="21"/>
                <w:lang w:val="en-US" w:eastAsia="zh-CN"/>
              </w:rPr>
              <w:t>标准调研结果来看降雨量监测的重要性相对较低；结合实地调研结果来看降雨对挖方边坡影响较大，填方边坡因本身的防排水设施比较完善，降雨对其影响较小，因此在监测等级为一级的挖方边坡中该监测内容设为应测，其余不为应测；</w:t>
            </w:r>
          </w:p>
        </w:tc>
        <w:tc>
          <w:tcPr>
            <w:tcW w:w="2934" w:type="dxa"/>
            <w:vAlign w:val="center"/>
          </w:tcPr>
          <w:p w14:paraId="33968494">
            <w:pPr>
              <w:spacing w:line="360" w:lineRule="auto"/>
              <w:jc w:val="center"/>
              <w:rPr>
                <w:rFonts w:ascii="Times New Roman" w:hAnsi="Times New Roman" w:eastAsia="仿宋_GB2312"/>
                <w:sz w:val="21"/>
                <w:szCs w:val="21"/>
              </w:rPr>
            </w:pPr>
            <w:r>
              <w:rPr>
                <w:rFonts w:hint="eastAsia" w:ascii="Times New Roman" w:hAnsi="Times New Roman" w:eastAsia="仿宋_GB2312"/>
                <w:sz w:val="21"/>
                <w:szCs w:val="21"/>
              </w:rPr>
              <w:t>调研规范对降雨重要性等级为</w:t>
            </w:r>
            <w:r>
              <w:rPr>
                <w:rFonts w:hint="eastAsia" w:ascii="Times New Roman" w:hAnsi="Times New Roman" w:eastAsia="仿宋_GB2312"/>
                <w:sz w:val="21"/>
                <w:szCs w:val="21"/>
                <w:lang w:eastAsia="zh-CN"/>
              </w:rPr>
              <w:t>Ⅱ</w:t>
            </w:r>
            <w:r>
              <w:rPr>
                <w:rFonts w:hint="eastAsia" w:ascii="Times New Roman" w:hAnsi="Times New Roman" w:eastAsia="仿宋_GB2312"/>
                <w:sz w:val="21"/>
                <w:szCs w:val="21"/>
              </w:rPr>
              <w:t>-</w:t>
            </w:r>
            <w:r>
              <w:rPr>
                <w:rFonts w:hint="eastAsia" w:ascii="Times New Roman" w:hAnsi="Times New Roman" w:eastAsia="仿宋_GB2312"/>
                <w:sz w:val="21"/>
                <w:szCs w:val="21"/>
                <w:lang w:eastAsia="zh-CN"/>
              </w:rPr>
              <w:t>Ⅳ；</w:t>
            </w:r>
          </w:p>
        </w:tc>
      </w:tr>
      <w:tr w14:paraId="71164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dxa"/>
            <w:vAlign w:val="center"/>
          </w:tcPr>
          <w:p w14:paraId="24893528">
            <w:pPr>
              <w:spacing w:line="360" w:lineRule="auto"/>
              <w:jc w:val="center"/>
              <w:rPr>
                <w:rFonts w:hint="eastAsia" w:ascii="Times New Roman" w:hAnsi="Times New Roman" w:eastAsia="仿宋_GB2312"/>
                <w:sz w:val="21"/>
                <w:szCs w:val="21"/>
                <w:lang w:eastAsia="zh-CN"/>
              </w:rPr>
            </w:pPr>
            <w:r>
              <w:rPr>
                <w:rFonts w:hint="eastAsia" w:ascii="Times New Roman" w:hAnsi="Times New Roman" w:eastAsia="仿宋_GB2312"/>
                <w:sz w:val="21"/>
                <w:szCs w:val="21"/>
                <w:lang w:val="en-US" w:eastAsia="zh-CN"/>
              </w:rPr>
              <w:t>6</w:t>
            </w:r>
          </w:p>
        </w:tc>
        <w:tc>
          <w:tcPr>
            <w:tcW w:w="945" w:type="dxa"/>
            <w:vAlign w:val="center"/>
          </w:tcPr>
          <w:p w14:paraId="78CF4844">
            <w:pPr>
              <w:spacing w:line="360" w:lineRule="auto"/>
              <w:jc w:val="center"/>
              <w:rPr>
                <w:rFonts w:hint="eastAsia" w:ascii="Times New Roman" w:hAnsi="Times New Roman" w:eastAsia="仿宋_GB2312"/>
                <w:sz w:val="21"/>
                <w:szCs w:val="21"/>
                <w:lang w:val="en-US" w:eastAsia="zh-CN"/>
              </w:rPr>
            </w:pPr>
            <w:r>
              <w:rPr>
                <w:rFonts w:hint="eastAsia" w:ascii="Times New Roman" w:hAnsi="Times New Roman" w:eastAsia="仿宋_GB2312"/>
                <w:sz w:val="21"/>
                <w:szCs w:val="21"/>
              </w:rPr>
              <w:t>地下水</w:t>
            </w:r>
            <w:r>
              <w:rPr>
                <w:rFonts w:hint="eastAsia" w:ascii="Times New Roman" w:hAnsi="Times New Roman" w:eastAsia="仿宋_GB2312"/>
                <w:sz w:val="21"/>
                <w:szCs w:val="21"/>
                <w:lang w:val="en-US" w:eastAsia="zh-CN"/>
              </w:rPr>
              <w:t>监测</w:t>
            </w:r>
          </w:p>
        </w:tc>
        <w:tc>
          <w:tcPr>
            <w:tcW w:w="4410" w:type="dxa"/>
            <w:vAlign w:val="center"/>
          </w:tcPr>
          <w:p w14:paraId="7EBBA29C">
            <w:pPr>
              <w:spacing w:line="360" w:lineRule="auto"/>
              <w:jc w:val="center"/>
              <w:rPr>
                <w:rFonts w:hint="default" w:ascii="Times New Roman" w:hAnsi="Times New Roman" w:eastAsia="仿宋_GB2312"/>
                <w:sz w:val="21"/>
                <w:szCs w:val="21"/>
                <w:lang w:val="en-US" w:eastAsia="zh-CN"/>
              </w:rPr>
            </w:pPr>
            <w:r>
              <w:rPr>
                <w:rFonts w:hint="eastAsia" w:ascii="Times New Roman" w:hAnsi="Times New Roman" w:eastAsia="仿宋_GB2312"/>
                <w:sz w:val="21"/>
                <w:szCs w:val="21"/>
                <w:lang w:val="en-US" w:eastAsia="zh-CN"/>
              </w:rPr>
              <w:t>从标准调研结果来看，大部分省市认为地下水位监测的重要性不高</w:t>
            </w:r>
            <w:r>
              <w:rPr>
                <w:rFonts w:hint="eastAsia" w:ascii="Times New Roman" w:hAnsi="Times New Roman" w:eastAsia="仿宋_GB2312"/>
                <w:sz w:val="21"/>
                <w:szCs w:val="21"/>
              </w:rPr>
              <w:t>；</w:t>
            </w:r>
            <w:r>
              <w:rPr>
                <w:rFonts w:hint="eastAsia" w:ascii="Times New Roman" w:hAnsi="Times New Roman" w:eastAsia="仿宋_GB2312"/>
                <w:sz w:val="21"/>
                <w:szCs w:val="21"/>
                <w:lang w:val="en-US" w:eastAsia="zh-CN"/>
              </w:rPr>
              <w:t>结合实地调研结果来看，对于水敏感性高的边坡和地下水位明显高于潜在滑面的边坡，地下水对边坡的稳定性影响较大；因常规情况下地下水监测不为应测；</w:t>
            </w:r>
          </w:p>
        </w:tc>
        <w:tc>
          <w:tcPr>
            <w:tcW w:w="2934" w:type="dxa"/>
            <w:vAlign w:val="center"/>
          </w:tcPr>
          <w:p w14:paraId="4C6A1E46">
            <w:pPr>
              <w:spacing w:line="360" w:lineRule="auto"/>
              <w:jc w:val="center"/>
              <w:rPr>
                <w:rFonts w:hint="eastAsia" w:ascii="Times New Roman" w:hAnsi="Times New Roman" w:eastAsia="仿宋_GB2312"/>
                <w:sz w:val="21"/>
                <w:szCs w:val="21"/>
                <w:lang w:eastAsia="zh-CN"/>
              </w:rPr>
            </w:pPr>
            <w:r>
              <w:rPr>
                <w:rFonts w:hint="eastAsia" w:ascii="Times New Roman" w:hAnsi="Times New Roman" w:eastAsia="仿宋_GB2312"/>
                <w:sz w:val="21"/>
                <w:szCs w:val="21"/>
              </w:rPr>
              <w:t>建筑国标、湖北地标、河南团标为</w:t>
            </w:r>
            <w:r>
              <w:rPr>
                <w:rFonts w:hint="eastAsia" w:ascii="Times New Roman" w:hAnsi="Times New Roman" w:eastAsia="仿宋_GB2312"/>
                <w:sz w:val="21"/>
                <w:szCs w:val="21"/>
                <w:lang w:eastAsia="zh-CN"/>
              </w:rPr>
              <w:t>Ⅲ</w:t>
            </w:r>
            <w:r>
              <w:rPr>
                <w:rFonts w:hint="eastAsia" w:ascii="Times New Roman" w:hAnsi="Times New Roman" w:eastAsia="仿宋_GB2312"/>
                <w:sz w:val="21"/>
                <w:szCs w:val="21"/>
              </w:rPr>
              <w:t>；重庆地标、河南地标、广东地标为</w:t>
            </w:r>
            <w:r>
              <w:rPr>
                <w:rFonts w:hint="eastAsia" w:ascii="Times New Roman" w:hAnsi="Times New Roman" w:eastAsia="仿宋_GB2312"/>
                <w:sz w:val="21"/>
                <w:szCs w:val="21"/>
                <w:lang w:eastAsia="zh-CN"/>
              </w:rPr>
              <w:t>Ⅳ</w:t>
            </w:r>
            <w:r>
              <w:rPr>
                <w:rFonts w:hint="eastAsia" w:ascii="Times New Roman" w:hAnsi="Times New Roman" w:eastAsia="仿宋_GB2312"/>
                <w:sz w:val="21"/>
                <w:szCs w:val="21"/>
              </w:rPr>
              <w:t>；湖南地标为</w:t>
            </w:r>
            <w:r>
              <w:rPr>
                <w:rFonts w:hint="eastAsia" w:ascii="Times New Roman" w:hAnsi="Times New Roman" w:eastAsia="仿宋_GB2312"/>
                <w:sz w:val="21"/>
                <w:szCs w:val="21"/>
                <w:lang w:eastAsia="zh-CN"/>
              </w:rPr>
              <w:t>Ⅱ</w:t>
            </w:r>
            <w:r>
              <w:rPr>
                <w:rFonts w:hint="eastAsia" w:ascii="Times New Roman" w:hAnsi="Times New Roman" w:eastAsia="仿宋_GB2312"/>
                <w:sz w:val="21"/>
                <w:szCs w:val="21"/>
              </w:rPr>
              <w:t>；福建地标、陕西地标为</w:t>
            </w:r>
            <w:r>
              <w:rPr>
                <w:rFonts w:hint="eastAsia" w:ascii="Times New Roman" w:hAnsi="Times New Roman" w:eastAsia="仿宋_GB2312"/>
                <w:sz w:val="21"/>
                <w:szCs w:val="21"/>
                <w:lang w:eastAsia="zh-CN"/>
              </w:rPr>
              <w:t>Ⅰ；</w:t>
            </w:r>
          </w:p>
        </w:tc>
      </w:tr>
      <w:tr w14:paraId="6756E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dxa"/>
            <w:vAlign w:val="center"/>
          </w:tcPr>
          <w:p w14:paraId="7E085D46">
            <w:pPr>
              <w:spacing w:line="360" w:lineRule="auto"/>
              <w:jc w:val="center"/>
              <w:rPr>
                <w:rFonts w:hint="eastAsia" w:ascii="Times New Roman" w:hAnsi="Times New Roman" w:eastAsia="仿宋_GB2312"/>
                <w:sz w:val="21"/>
                <w:szCs w:val="21"/>
                <w:lang w:eastAsia="zh-CN"/>
              </w:rPr>
            </w:pPr>
            <w:r>
              <w:rPr>
                <w:rFonts w:hint="eastAsia" w:ascii="Times New Roman" w:hAnsi="Times New Roman" w:eastAsia="仿宋_GB2312"/>
                <w:sz w:val="21"/>
                <w:szCs w:val="21"/>
                <w:lang w:val="en-US" w:eastAsia="zh-CN"/>
              </w:rPr>
              <w:t>7</w:t>
            </w:r>
          </w:p>
        </w:tc>
        <w:tc>
          <w:tcPr>
            <w:tcW w:w="945" w:type="dxa"/>
            <w:vAlign w:val="center"/>
          </w:tcPr>
          <w:p w14:paraId="09877C59">
            <w:pPr>
              <w:spacing w:line="360" w:lineRule="auto"/>
              <w:jc w:val="center"/>
              <w:rPr>
                <w:rFonts w:hint="default" w:ascii="Times New Roman" w:hAnsi="Times New Roman" w:eastAsia="仿宋_GB2312"/>
                <w:sz w:val="21"/>
                <w:szCs w:val="21"/>
                <w:lang w:val="en-US" w:eastAsia="zh-CN"/>
              </w:rPr>
            </w:pPr>
            <w:r>
              <w:rPr>
                <w:rFonts w:hint="eastAsia" w:ascii="Times New Roman" w:hAnsi="Times New Roman" w:eastAsia="仿宋_GB2312"/>
                <w:sz w:val="21"/>
                <w:szCs w:val="21"/>
              </w:rPr>
              <w:t>支护结构</w:t>
            </w:r>
            <w:r>
              <w:rPr>
                <w:rFonts w:hint="eastAsia" w:ascii="Times New Roman" w:hAnsi="Times New Roman" w:eastAsia="仿宋_GB2312"/>
                <w:sz w:val="21"/>
                <w:szCs w:val="21"/>
                <w:lang w:val="en-US" w:eastAsia="zh-CN"/>
              </w:rPr>
              <w:t>内力监测</w:t>
            </w:r>
          </w:p>
        </w:tc>
        <w:tc>
          <w:tcPr>
            <w:tcW w:w="4410" w:type="dxa"/>
            <w:vAlign w:val="center"/>
          </w:tcPr>
          <w:p w14:paraId="1A6DA5C8">
            <w:pPr>
              <w:spacing w:line="360" w:lineRule="auto"/>
              <w:jc w:val="center"/>
              <w:rPr>
                <w:rFonts w:hint="default" w:ascii="Times New Roman" w:hAnsi="Times New Roman" w:eastAsia="仿宋_GB2312"/>
                <w:sz w:val="21"/>
                <w:szCs w:val="21"/>
                <w:lang w:val="en-US" w:eastAsia="zh-CN"/>
              </w:rPr>
            </w:pPr>
            <w:r>
              <w:rPr>
                <w:rFonts w:hint="eastAsia" w:ascii="Times New Roman" w:hAnsi="Times New Roman" w:eastAsia="仿宋_GB2312"/>
                <w:sz w:val="21"/>
                <w:szCs w:val="21"/>
                <w:lang w:val="en-US" w:eastAsia="zh-CN"/>
              </w:rPr>
              <w:t>从标准调研结果来看，支护结构内力监测的重要性不高；结合实地调研结果来看，支护结构内力监测主要用于反映边坡支护结构的服役状态，边坡的稳定性评价还是以变形为主，因此支护结构内力监测不为应测；</w:t>
            </w:r>
          </w:p>
        </w:tc>
        <w:tc>
          <w:tcPr>
            <w:tcW w:w="2934" w:type="dxa"/>
            <w:vAlign w:val="center"/>
          </w:tcPr>
          <w:p w14:paraId="574FAA28">
            <w:pPr>
              <w:spacing w:line="360" w:lineRule="auto"/>
              <w:jc w:val="center"/>
              <w:rPr>
                <w:rFonts w:ascii="Times New Roman" w:hAnsi="Times New Roman" w:eastAsia="仿宋_GB2312"/>
                <w:sz w:val="21"/>
                <w:szCs w:val="21"/>
              </w:rPr>
            </w:pPr>
            <w:r>
              <w:rPr>
                <w:rFonts w:hint="eastAsia" w:ascii="Times New Roman" w:hAnsi="Times New Roman" w:eastAsia="仿宋_GB2312"/>
                <w:sz w:val="21"/>
                <w:szCs w:val="21"/>
              </w:rPr>
              <w:t>建筑国标、湖北地标、河南省团标、重庆市地标、河南省地标、广东省地标重要性等级为</w:t>
            </w:r>
            <w:r>
              <w:rPr>
                <w:rFonts w:hint="eastAsia" w:ascii="Times New Roman" w:hAnsi="Times New Roman" w:eastAsia="仿宋_GB2312"/>
                <w:sz w:val="21"/>
                <w:szCs w:val="21"/>
                <w:lang w:eastAsia="zh-CN"/>
              </w:rPr>
              <w:t>Ⅳ</w:t>
            </w:r>
            <w:r>
              <w:rPr>
                <w:rFonts w:hint="eastAsia" w:ascii="Times New Roman" w:hAnsi="Times New Roman" w:eastAsia="仿宋_GB2312"/>
                <w:sz w:val="21"/>
                <w:szCs w:val="21"/>
              </w:rPr>
              <w:t>；湖南地标为</w:t>
            </w:r>
            <w:r>
              <w:rPr>
                <w:rFonts w:hint="eastAsia" w:ascii="Times New Roman" w:hAnsi="Times New Roman" w:eastAsia="仿宋_GB2312"/>
                <w:sz w:val="21"/>
                <w:szCs w:val="21"/>
                <w:lang w:eastAsia="zh-CN"/>
              </w:rPr>
              <w:t>Ⅱ</w:t>
            </w:r>
            <w:r>
              <w:rPr>
                <w:rFonts w:hint="eastAsia" w:ascii="Times New Roman" w:hAnsi="Times New Roman" w:eastAsia="仿宋_GB2312"/>
                <w:sz w:val="21"/>
                <w:szCs w:val="21"/>
              </w:rPr>
              <w:t>；</w:t>
            </w:r>
          </w:p>
        </w:tc>
      </w:tr>
      <w:tr w14:paraId="34B6E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dxa"/>
            <w:vAlign w:val="center"/>
          </w:tcPr>
          <w:p w14:paraId="1C68AB99">
            <w:pPr>
              <w:spacing w:line="360" w:lineRule="auto"/>
              <w:jc w:val="center"/>
              <w:rPr>
                <w:rFonts w:hint="eastAsia" w:ascii="Times New Roman" w:hAnsi="Times New Roman" w:eastAsia="仿宋_GB2312"/>
                <w:sz w:val="21"/>
                <w:szCs w:val="21"/>
                <w:lang w:eastAsia="zh-CN"/>
              </w:rPr>
            </w:pPr>
            <w:r>
              <w:rPr>
                <w:rFonts w:hint="eastAsia" w:ascii="Times New Roman" w:hAnsi="Times New Roman" w:eastAsia="仿宋_GB2312"/>
                <w:sz w:val="21"/>
                <w:szCs w:val="21"/>
                <w:lang w:val="en-US" w:eastAsia="zh-CN"/>
              </w:rPr>
              <w:t>8</w:t>
            </w:r>
          </w:p>
        </w:tc>
        <w:tc>
          <w:tcPr>
            <w:tcW w:w="945" w:type="dxa"/>
            <w:vAlign w:val="center"/>
          </w:tcPr>
          <w:p w14:paraId="6034E5CB">
            <w:pPr>
              <w:spacing w:line="360" w:lineRule="auto"/>
              <w:jc w:val="center"/>
              <w:rPr>
                <w:rFonts w:ascii="Times New Roman" w:hAnsi="Times New Roman" w:eastAsia="仿宋_GB2312"/>
                <w:sz w:val="21"/>
                <w:szCs w:val="21"/>
              </w:rPr>
            </w:pPr>
            <w:r>
              <w:rPr>
                <w:rFonts w:hint="eastAsia" w:ascii="Times New Roman" w:hAnsi="Times New Roman" w:eastAsia="仿宋_GB2312"/>
                <w:sz w:val="21"/>
                <w:szCs w:val="21"/>
              </w:rPr>
              <w:t>支护结构变形</w:t>
            </w:r>
            <w:r>
              <w:rPr>
                <w:rFonts w:hint="eastAsia" w:ascii="Times New Roman" w:hAnsi="Times New Roman" w:eastAsia="仿宋_GB2312"/>
                <w:sz w:val="21"/>
                <w:szCs w:val="21"/>
                <w:lang w:val="en-US" w:eastAsia="zh-CN"/>
              </w:rPr>
              <w:t>监测</w:t>
            </w:r>
          </w:p>
        </w:tc>
        <w:tc>
          <w:tcPr>
            <w:tcW w:w="4410" w:type="dxa"/>
            <w:vAlign w:val="center"/>
          </w:tcPr>
          <w:p w14:paraId="44EB6530">
            <w:pPr>
              <w:spacing w:line="360" w:lineRule="auto"/>
              <w:jc w:val="center"/>
              <w:rPr>
                <w:rFonts w:ascii="Times New Roman" w:hAnsi="Times New Roman" w:eastAsia="仿宋_GB2312"/>
                <w:sz w:val="21"/>
                <w:szCs w:val="21"/>
              </w:rPr>
            </w:pPr>
            <w:r>
              <w:rPr>
                <w:rFonts w:hint="eastAsia" w:ascii="Times New Roman" w:hAnsi="Times New Roman" w:eastAsia="仿宋_GB2312"/>
                <w:sz w:val="21"/>
                <w:szCs w:val="21"/>
                <w:lang w:val="en-US" w:eastAsia="zh-CN"/>
              </w:rPr>
              <w:t>从标准调研结果来看大部分省市只在监测等级为一级的边坡中将支护结构变形监测列为应测；结合实地调研结果来看，实际工程中支护结构变形监测通常与表面变形监测点位布设综合考虑，在表面变形监测均为应测的前提下，本标准亦只在监测等级为一级的边坡中将支护结构变形监测列为应测；</w:t>
            </w:r>
          </w:p>
        </w:tc>
        <w:tc>
          <w:tcPr>
            <w:tcW w:w="2934" w:type="dxa"/>
            <w:vAlign w:val="center"/>
          </w:tcPr>
          <w:p w14:paraId="0BFDBB48">
            <w:pPr>
              <w:spacing w:line="360" w:lineRule="auto"/>
              <w:jc w:val="center"/>
              <w:rPr>
                <w:rFonts w:ascii="Times New Roman" w:hAnsi="Times New Roman" w:eastAsia="仿宋_GB2312"/>
                <w:sz w:val="21"/>
                <w:szCs w:val="21"/>
              </w:rPr>
            </w:pPr>
            <w:r>
              <w:rPr>
                <w:rFonts w:hint="eastAsia" w:ascii="Times New Roman" w:hAnsi="Times New Roman" w:eastAsia="仿宋_GB2312"/>
                <w:sz w:val="21"/>
                <w:szCs w:val="21"/>
              </w:rPr>
              <w:t>建筑国标、河南团标、重庆地标、广东地标、陕西省地标中重要性等级均为</w:t>
            </w:r>
            <w:r>
              <w:rPr>
                <w:rFonts w:hint="eastAsia" w:ascii="Times New Roman" w:hAnsi="Times New Roman" w:eastAsia="仿宋_GB2312"/>
                <w:sz w:val="21"/>
                <w:szCs w:val="21"/>
                <w:lang w:eastAsia="zh-CN"/>
              </w:rPr>
              <w:t>Ⅲ</w:t>
            </w:r>
            <w:r>
              <w:rPr>
                <w:rFonts w:hint="eastAsia" w:ascii="Times New Roman" w:hAnsi="Times New Roman" w:eastAsia="仿宋_GB2312"/>
                <w:sz w:val="21"/>
                <w:szCs w:val="21"/>
              </w:rPr>
              <w:t>；河南地标、湖北地标中重要性等级为</w:t>
            </w:r>
            <w:r>
              <w:rPr>
                <w:rFonts w:hint="eastAsia" w:ascii="Times New Roman" w:hAnsi="Times New Roman" w:eastAsia="仿宋_GB2312"/>
                <w:sz w:val="21"/>
                <w:szCs w:val="21"/>
                <w:lang w:eastAsia="zh-CN"/>
              </w:rPr>
              <w:t>Ⅰ</w:t>
            </w:r>
            <w:r>
              <w:rPr>
                <w:rFonts w:hint="eastAsia" w:ascii="Times New Roman" w:hAnsi="Times New Roman" w:eastAsia="仿宋_GB2312"/>
                <w:sz w:val="21"/>
                <w:szCs w:val="21"/>
              </w:rPr>
              <w:t>；</w:t>
            </w:r>
          </w:p>
        </w:tc>
      </w:tr>
      <w:tr w14:paraId="24C9E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dxa"/>
            <w:vAlign w:val="center"/>
          </w:tcPr>
          <w:p w14:paraId="7B657316">
            <w:pPr>
              <w:spacing w:line="360" w:lineRule="auto"/>
              <w:jc w:val="center"/>
              <w:rPr>
                <w:rFonts w:hint="eastAsia" w:ascii="Times New Roman" w:hAnsi="Times New Roman" w:eastAsia="仿宋_GB2312"/>
                <w:sz w:val="21"/>
                <w:szCs w:val="21"/>
                <w:lang w:eastAsia="zh-CN"/>
              </w:rPr>
            </w:pPr>
            <w:r>
              <w:rPr>
                <w:rFonts w:hint="eastAsia" w:ascii="Times New Roman" w:hAnsi="Times New Roman" w:eastAsia="仿宋_GB2312"/>
                <w:sz w:val="21"/>
                <w:szCs w:val="21"/>
                <w:lang w:val="en-US" w:eastAsia="zh-CN"/>
              </w:rPr>
              <w:t>9</w:t>
            </w:r>
          </w:p>
        </w:tc>
        <w:tc>
          <w:tcPr>
            <w:tcW w:w="945" w:type="dxa"/>
            <w:vAlign w:val="center"/>
          </w:tcPr>
          <w:p w14:paraId="4B882FED">
            <w:pPr>
              <w:spacing w:line="360" w:lineRule="auto"/>
              <w:jc w:val="center"/>
              <w:rPr>
                <w:rFonts w:ascii="Times New Roman" w:hAnsi="Times New Roman" w:eastAsia="仿宋_GB2312"/>
                <w:sz w:val="21"/>
                <w:szCs w:val="21"/>
              </w:rPr>
            </w:pPr>
            <w:r>
              <w:rPr>
                <w:rFonts w:hint="eastAsia" w:ascii="Times New Roman" w:hAnsi="Times New Roman" w:eastAsia="仿宋_GB2312"/>
                <w:sz w:val="21"/>
                <w:szCs w:val="21"/>
              </w:rPr>
              <w:t>影像监测</w:t>
            </w:r>
          </w:p>
        </w:tc>
        <w:tc>
          <w:tcPr>
            <w:tcW w:w="4410" w:type="dxa"/>
            <w:vAlign w:val="center"/>
          </w:tcPr>
          <w:p w14:paraId="657F1C02">
            <w:pPr>
              <w:spacing w:line="360" w:lineRule="auto"/>
              <w:jc w:val="center"/>
              <w:rPr>
                <w:rFonts w:hint="default" w:ascii="Times New Roman" w:hAnsi="Times New Roman" w:eastAsia="仿宋_GB2312"/>
                <w:sz w:val="21"/>
                <w:szCs w:val="21"/>
                <w:lang w:val="en-US" w:eastAsia="zh-CN"/>
              </w:rPr>
            </w:pPr>
            <w:r>
              <w:rPr>
                <w:rFonts w:hint="eastAsia" w:ascii="Times New Roman" w:hAnsi="Times New Roman" w:eastAsia="仿宋_GB2312"/>
                <w:sz w:val="21"/>
                <w:szCs w:val="21"/>
                <w:lang w:val="en-US" w:eastAsia="zh-CN"/>
              </w:rPr>
              <w:t>从标准调研结果来看，仅少量省份在监测中考虑了影像监测；结合实地调研结果来看，影像监测仅在边坡发生较大变形后，用于快速确认是否有危及公众安全的险情发生，因此本标准考虑仅在监测等级为一级的边坡中将其列为应测；</w:t>
            </w:r>
          </w:p>
        </w:tc>
        <w:tc>
          <w:tcPr>
            <w:tcW w:w="2934" w:type="dxa"/>
            <w:vAlign w:val="center"/>
          </w:tcPr>
          <w:p w14:paraId="5A7BAA14">
            <w:pPr>
              <w:spacing w:line="360" w:lineRule="auto"/>
              <w:jc w:val="center"/>
              <w:rPr>
                <w:rFonts w:ascii="Times New Roman" w:hAnsi="Times New Roman" w:eastAsia="仿宋_GB2312"/>
                <w:sz w:val="21"/>
                <w:szCs w:val="21"/>
              </w:rPr>
            </w:pPr>
            <w:r>
              <w:rPr>
                <w:rFonts w:hint="eastAsia" w:ascii="Times New Roman" w:hAnsi="Times New Roman" w:eastAsia="仿宋_GB2312"/>
                <w:sz w:val="21"/>
                <w:szCs w:val="21"/>
              </w:rPr>
              <w:t>河南地标、广东地标重要性为</w:t>
            </w:r>
            <w:r>
              <w:rPr>
                <w:rFonts w:hint="eastAsia" w:ascii="Times New Roman" w:hAnsi="Times New Roman" w:eastAsia="仿宋_GB2312"/>
                <w:sz w:val="21"/>
                <w:szCs w:val="21"/>
                <w:lang w:eastAsia="zh-CN"/>
              </w:rPr>
              <w:t>Ⅰ</w:t>
            </w:r>
            <w:r>
              <w:rPr>
                <w:rFonts w:hint="eastAsia" w:ascii="Times New Roman" w:hAnsi="Times New Roman" w:eastAsia="仿宋_GB2312"/>
                <w:sz w:val="21"/>
                <w:szCs w:val="21"/>
              </w:rPr>
              <w:t>；湖南地标为</w:t>
            </w:r>
            <w:r>
              <w:rPr>
                <w:rFonts w:hint="eastAsia" w:ascii="Times New Roman" w:hAnsi="Times New Roman" w:eastAsia="仿宋_GB2312"/>
                <w:sz w:val="21"/>
                <w:szCs w:val="21"/>
                <w:lang w:eastAsia="zh-CN"/>
              </w:rPr>
              <w:t>Ⅳ</w:t>
            </w:r>
            <w:r>
              <w:rPr>
                <w:rFonts w:hint="eastAsia" w:ascii="Times New Roman" w:hAnsi="Times New Roman" w:eastAsia="仿宋_GB2312"/>
                <w:sz w:val="21"/>
                <w:szCs w:val="21"/>
              </w:rPr>
              <w:t>；</w:t>
            </w:r>
          </w:p>
        </w:tc>
      </w:tr>
    </w:tbl>
    <w:p w14:paraId="33CF3DF5">
      <w:pPr>
        <w:pStyle w:val="16"/>
        <w:keepNext w:val="0"/>
        <w:keepLines w:val="0"/>
        <w:pageBreakBefore w:val="0"/>
        <w:widowControl w:val="0"/>
        <w:numPr>
          <w:ilvl w:val="0"/>
          <w:numId w:val="1"/>
        </w:numPr>
        <w:kinsoku/>
        <w:wordWrap/>
        <w:overflowPunct/>
        <w:topLinePunct w:val="0"/>
        <w:autoSpaceDE/>
        <w:autoSpaceDN/>
        <w:bidi w:val="0"/>
        <w:adjustRightInd/>
        <w:snapToGrid/>
        <w:spacing w:line="360" w:lineRule="auto"/>
        <w:ind w:left="170" w:leftChars="0" w:hanging="170" w:firstLineChars="0"/>
        <w:jc w:val="left"/>
        <w:textAlignment w:val="auto"/>
        <w:rPr>
          <w:rFonts w:hint="eastAsia" w:ascii="Times New Roman" w:hAnsi="Times New Roman" w:eastAsia="仿宋_GB2312"/>
          <w:b/>
          <w:bCs/>
          <w:sz w:val="32"/>
          <w:szCs w:val="32"/>
          <w:lang w:val="en-US" w:eastAsia="zh-CN"/>
        </w:rPr>
      </w:pPr>
      <w:r>
        <w:rPr>
          <w:rFonts w:hint="eastAsia" w:ascii="Times New Roman" w:hAnsi="Times New Roman" w:eastAsia="仿宋_GB2312"/>
          <w:b/>
          <w:bCs/>
          <w:sz w:val="32"/>
          <w:szCs w:val="32"/>
          <w:lang w:val="en-US" w:eastAsia="zh-CN"/>
        </w:rPr>
        <w:t>监测方法及精度（条款5.4及附录C）</w:t>
      </w:r>
    </w:p>
    <w:p w14:paraId="54A75F50">
      <w:pPr>
        <w:spacing w:line="360" w:lineRule="auto"/>
        <w:ind w:firstLine="640" w:firstLineChars="200"/>
        <w:rPr>
          <w:rFonts w:hint="eastAsia" w:ascii="Times New Roman" w:hAnsi="Times New Roman" w:eastAsia="仿宋_GB2312" w:cs="Times New Roman"/>
          <w:color w:val="000000"/>
          <w:kern w:val="0"/>
          <w:sz w:val="32"/>
          <w:szCs w:val="21"/>
        </w:rPr>
      </w:pPr>
      <w:r>
        <w:rPr>
          <w:rFonts w:hint="eastAsia" w:ascii="Times New Roman" w:hAnsi="Times New Roman" w:eastAsia="仿宋_GB2312" w:cs="Times New Roman"/>
          <w:color w:val="000000"/>
          <w:kern w:val="0"/>
          <w:sz w:val="32"/>
          <w:szCs w:val="21"/>
        </w:rPr>
        <w:t>说明： 本条款对9类监测内容的自动化监测方法及精度要求进行了规定。附录C以表格形式列出了17种常用自动化监测方法、示意图及常用监测精度。</w:t>
      </w:r>
    </w:p>
    <w:p w14:paraId="1DF826C1">
      <w:pPr>
        <w:spacing w:line="360" w:lineRule="auto"/>
        <w:ind w:firstLine="640" w:firstLineChars="200"/>
        <w:rPr>
          <w:rFonts w:hint="eastAsia" w:ascii="Times New Roman" w:hAnsi="Times New Roman" w:eastAsia="仿宋_GB2312" w:cs="Times New Roman"/>
          <w:color w:val="000000"/>
          <w:kern w:val="0"/>
          <w:sz w:val="32"/>
          <w:szCs w:val="21"/>
        </w:rPr>
      </w:pPr>
      <w:r>
        <w:rPr>
          <w:rFonts w:hint="eastAsia" w:ascii="Times New Roman" w:hAnsi="Times New Roman" w:eastAsia="仿宋_GB2312" w:cs="Times New Roman"/>
          <w:color w:val="000000"/>
          <w:kern w:val="0"/>
          <w:sz w:val="32"/>
          <w:szCs w:val="21"/>
        </w:rPr>
        <w:t>条款5.4.2规定“监测设备测量精度应满足设备的监测中误差小于预警值的1/10”。该原则依据国际测量工作者联合会</w:t>
      </w:r>
      <w:r>
        <w:rPr>
          <w:rFonts w:hint="eastAsia" w:ascii="Times New Roman" w:hAnsi="Times New Roman" w:eastAsia="仿宋_GB2312" w:cs="Times New Roman"/>
          <w:color w:val="000000"/>
          <w:kern w:val="0"/>
          <w:sz w:val="32"/>
          <w:szCs w:val="21"/>
          <w:lang w:eastAsia="zh-CN"/>
        </w:rPr>
        <w:t>（</w:t>
      </w:r>
      <w:r>
        <w:rPr>
          <w:rFonts w:hint="eastAsia" w:ascii="Times New Roman" w:hAnsi="Times New Roman" w:eastAsia="仿宋_GB2312" w:cs="Times New Roman"/>
          <w:color w:val="000000"/>
          <w:kern w:val="0"/>
          <w:sz w:val="32"/>
          <w:szCs w:val="21"/>
        </w:rPr>
        <w:t>FIG</w:t>
      </w:r>
      <w:r>
        <w:rPr>
          <w:rFonts w:hint="eastAsia" w:ascii="Times New Roman" w:hAnsi="Times New Roman" w:eastAsia="仿宋_GB2312" w:cs="Times New Roman"/>
          <w:color w:val="000000"/>
          <w:kern w:val="0"/>
          <w:sz w:val="32"/>
          <w:szCs w:val="21"/>
          <w:lang w:eastAsia="zh-CN"/>
        </w:rPr>
        <w:t>）</w:t>
      </w:r>
      <w:r>
        <w:rPr>
          <w:rFonts w:hint="eastAsia" w:ascii="Times New Roman" w:hAnsi="Times New Roman" w:eastAsia="仿宋_GB2312" w:cs="Times New Roman"/>
          <w:color w:val="000000"/>
          <w:kern w:val="0"/>
          <w:sz w:val="32"/>
          <w:szCs w:val="21"/>
        </w:rPr>
        <w:t>第十三届会议</w:t>
      </w:r>
      <w:r>
        <w:rPr>
          <w:rFonts w:hint="eastAsia" w:ascii="Times New Roman" w:hAnsi="Times New Roman" w:eastAsia="仿宋_GB2312" w:cs="Times New Roman"/>
          <w:color w:val="000000"/>
          <w:kern w:val="0"/>
          <w:sz w:val="32"/>
          <w:szCs w:val="21"/>
          <w:lang w:val="en-US" w:eastAsia="zh-CN"/>
        </w:rPr>
        <w:t>总结报告和《建筑变形测量规范》 JGJ 8条文3.2.3</w:t>
      </w:r>
      <w:r>
        <w:rPr>
          <w:rFonts w:hint="eastAsia" w:ascii="Times New Roman" w:hAnsi="Times New Roman" w:eastAsia="仿宋_GB2312" w:cs="Times New Roman"/>
          <w:color w:val="000000"/>
          <w:kern w:val="0"/>
          <w:sz w:val="32"/>
          <w:szCs w:val="21"/>
        </w:rPr>
        <w:t>“监测中误差应</w:t>
      </w:r>
      <w:r>
        <w:rPr>
          <w:rFonts w:hint="eastAsia" w:ascii="Times New Roman" w:hAnsi="Times New Roman" w:eastAsia="仿宋_GB2312" w:cs="Times New Roman"/>
          <w:color w:val="000000"/>
          <w:kern w:val="0"/>
          <w:sz w:val="32"/>
          <w:szCs w:val="21"/>
          <w:lang w:val="en-US" w:eastAsia="zh-CN"/>
        </w:rPr>
        <w:t>取变形中误差的</w:t>
      </w:r>
      <w:r>
        <w:rPr>
          <w:rFonts w:hint="eastAsia" w:ascii="Times New Roman" w:hAnsi="Times New Roman" w:eastAsia="仿宋_GB2312" w:cs="Times New Roman"/>
          <w:color w:val="000000"/>
          <w:kern w:val="0"/>
          <w:sz w:val="32"/>
          <w:szCs w:val="21"/>
        </w:rPr>
        <w:t>1/10～1/</w:t>
      </w:r>
      <w:r>
        <w:rPr>
          <w:rFonts w:hint="eastAsia" w:ascii="Times New Roman" w:hAnsi="Times New Roman" w:eastAsia="仿宋_GB2312" w:cs="Times New Roman"/>
          <w:color w:val="000000"/>
          <w:kern w:val="0"/>
          <w:sz w:val="32"/>
          <w:szCs w:val="21"/>
          <w:lang w:val="en-US" w:eastAsia="zh-CN"/>
        </w:rPr>
        <w:t>20</w:t>
      </w:r>
      <w:r>
        <w:rPr>
          <w:rFonts w:hint="eastAsia" w:ascii="Times New Roman" w:hAnsi="Times New Roman" w:eastAsia="仿宋_GB2312" w:cs="Times New Roman"/>
          <w:color w:val="000000"/>
          <w:kern w:val="0"/>
          <w:sz w:val="32"/>
          <w:szCs w:val="21"/>
        </w:rPr>
        <w:t>”的规定确定。</w:t>
      </w:r>
    </w:p>
    <w:p w14:paraId="0B4690DF">
      <w:pPr>
        <w:spacing w:line="360" w:lineRule="auto"/>
        <w:ind w:firstLine="640" w:firstLineChars="200"/>
        <w:rPr>
          <w:rFonts w:hint="default" w:ascii="Times New Roman" w:hAnsi="Times New Roman" w:eastAsia="仿宋_GB2312" w:cs="Times New Roman"/>
          <w:color w:val="000000"/>
          <w:kern w:val="0"/>
          <w:sz w:val="32"/>
          <w:szCs w:val="21"/>
          <w:lang w:val="en-US" w:eastAsia="zh-CN"/>
        </w:rPr>
      </w:pPr>
      <w:r>
        <w:rPr>
          <w:rFonts w:hint="eastAsia" w:ascii="Times New Roman" w:hAnsi="Times New Roman" w:eastAsia="仿宋_GB2312" w:cs="Times New Roman"/>
          <w:color w:val="000000"/>
          <w:kern w:val="0"/>
          <w:sz w:val="32"/>
          <w:szCs w:val="21"/>
          <w:lang w:val="en-US" w:eastAsia="zh-CN"/>
        </w:rPr>
        <w:t>条款5.4.4至5.4.12常用监测方法源自文献（标准和论文）和实地调研结果；附录C中常用监测方法精度主要源自文献调研（标准）和网络调研（厂家传感器调研）。</w:t>
      </w:r>
    </w:p>
    <w:p w14:paraId="0B5B2185">
      <w:pPr>
        <w:pStyle w:val="16"/>
        <w:keepNext w:val="0"/>
        <w:keepLines w:val="0"/>
        <w:pageBreakBefore w:val="0"/>
        <w:widowControl w:val="0"/>
        <w:numPr>
          <w:ilvl w:val="0"/>
          <w:numId w:val="1"/>
        </w:numPr>
        <w:kinsoku/>
        <w:wordWrap/>
        <w:overflowPunct/>
        <w:topLinePunct w:val="0"/>
        <w:autoSpaceDE/>
        <w:autoSpaceDN/>
        <w:bidi w:val="0"/>
        <w:adjustRightInd/>
        <w:snapToGrid/>
        <w:spacing w:line="360" w:lineRule="auto"/>
        <w:ind w:left="170" w:leftChars="0" w:hanging="170" w:firstLineChars="0"/>
        <w:jc w:val="left"/>
        <w:textAlignment w:val="auto"/>
        <w:rPr>
          <w:rFonts w:hint="eastAsia" w:ascii="Times New Roman" w:hAnsi="Times New Roman" w:eastAsia="仿宋_GB2312"/>
          <w:b/>
          <w:bCs/>
          <w:sz w:val="32"/>
          <w:szCs w:val="32"/>
          <w:lang w:val="en-US" w:eastAsia="zh-CN"/>
        </w:rPr>
      </w:pPr>
      <w:r>
        <w:rPr>
          <w:rFonts w:hint="eastAsia" w:ascii="Times New Roman" w:hAnsi="Times New Roman" w:eastAsia="仿宋_GB2312"/>
          <w:b/>
          <w:bCs/>
          <w:sz w:val="32"/>
          <w:szCs w:val="32"/>
          <w:lang w:val="en-US" w:eastAsia="zh-CN"/>
        </w:rPr>
        <w:t>监测点位布设（条款5.5）</w:t>
      </w:r>
    </w:p>
    <w:p w14:paraId="3C9B573C">
      <w:pPr>
        <w:spacing w:line="360" w:lineRule="auto"/>
        <w:ind w:firstLine="640" w:firstLineChars="200"/>
        <w:rPr>
          <w:rFonts w:hint="eastAsia" w:ascii="Times New Roman" w:hAnsi="Times New Roman" w:eastAsia="仿宋_GB2312" w:cs="Times New Roman"/>
          <w:color w:val="000000"/>
          <w:kern w:val="0"/>
          <w:sz w:val="32"/>
          <w:szCs w:val="21"/>
        </w:rPr>
      </w:pPr>
      <w:r>
        <w:rPr>
          <w:rFonts w:hint="eastAsia" w:ascii="Times New Roman" w:hAnsi="Times New Roman" w:eastAsia="仿宋_GB2312" w:cs="Times New Roman"/>
          <w:color w:val="000000"/>
          <w:kern w:val="0"/>
          <w:sz w:val="32"/>
          <w:szCs w:val="21"/>
        </w:rPr>
        <w:t>说明： 本条款参考多省份地标调研结果确定了监测点位布设原则：</w:t>
      </w:r>
    </w:p>
    <w:p w14:paraId="21DCE9EB">
      <w:pPr>
        <w:spacing w:line="360" w:lineRule="auto"/>
        <w:ind w:firstLine="640" w:firstLineChars="200"/>
        <w:rPr>
          <w:rFonts w:hint="eastAsia" w:ascii="Times New Roman" w:hAnsi="Times New Roman" w:eastAsia="仿宋_GB2312" w:cs="Times New Roman"/>
          <w:color w:val="000000"/>
          <w:kern w:val="0"/>
          <w:sz w:val="32"/>
          <w:szCs w:val="21"/>
        </w:rPr>
      </w:pPr>
      <w:r>
        <w:rPr>
          <w:rFonts w:hint="eastAsia" w:ascii="Times New Roman" w:hAnsi="Times New Roman" w:eastAsia="仿宋_GB2312" w:cs="Times New Roman"/>
          <w:color w:val="000000"/>
          <w:kern w:val="0"/>
          <w:sz w:val="32"/>
          <w:szCs w:val="21"/>
          <w:lang w:val="en-US" w:eastAsia="zh-CN"/>
        </w:rPr>
        <w:t>①</w:t>
      </w:r>
      <w:r>
        <w:rPr>
          <w:rFonts w:hint="eastAsia" w:ascii="Times New Roman" w:hAnsi="Times New Roman" w:eastAsia="仿宋_GB2312" w:cs="Times New Roman"/>
          <w:color w:val="000000"/>
          <w:kern w:val="0"/>
          <w:sz w:val="32"/>
          <w:szCs w:val="21"/>
        </w:rPr>
        <w:t>监测剖面布设</w:t>
      </w:r>
    </w:p>
    <w:p w14:paraId="2ADC820A">
      <w:pPr>
        <w:spacing w:line="360" w:lineRule="auto"/>
        <w:ind w:firstLine="640" w:firstLineChars="200"/>
        <w:rPr>
          <w:rFonts w:hint="eastAsia" w:ascii="Times New Roman" w:hAnsi="Times New Roman" w:eastAsia="仿宋_GB2312" w:cs="Times New Roman"/>
          <w:color w:val="000000"/>
          <w:kern w:val="0"/>
          <w:sz w:val="32"/>
          <w:szCs w:val="21"/>
        </w:rPr>
      </w:pPr>
      <w:r>
        <w:rPr>
          <w:rFonts w:hint="eastAsia" w:ascii="Times New Roman" w:hAnsi="Times New Roman" w:eastAsia="仿宋_GB2312" w:cs="Times New Roman"/>
          <w:color w:val="000000"/>
          <w:kern w:val="0"/>
          <w:sz w:val="32"/>
          <w:szCs w:val="21"/>
        </w:rPr>
        <w:t>条款5.5.2规定了监测剖面的布设要求。调研结果显示，福建地标要求不少于3个监测断面，湖北地标规定断面间距40-60m，河南地标规定断面间距50-150m，湖南地标规定断面间距20-50m，广东地标规定30-50m，浙江地标规定坡长100m以内断面30-40m间距。综合各地实践，本规程确定监测剖面间距为20-50m，监测等级高的边坡取小值。同时规定当存在两个或两个以上变形方向时，纵剖面应相应布设，确保每个变形方向至少布设1个主控监测剖面。</w:t>
      </w:r>
    </w:p>
    <w:p w14:paraId="1C278D9F">
      <w:pPr>
        <w:spacing w:line="360" w:lineRule="auto"/>
        <w:ind w:firstLine="640" w:firstLineChars="200"/>
        <w:rPr>
          <w:rFonts w:hint="eastAsia" w:ascii="Times New Roman" w:hAnsi="Times New Roman" w:eastAsia="仿宋_GB2312" w:cs="Times New Roman"/>
          <w:color w:val="000000"/>
          <w:kern w:val="0"/>
          <w:sz w:val="32"/>
          <w:szCs w:val="21"/>
        </w:rPr>
      </w:pPr>
      <w:r>
        <w:rPr>
          <w:rFonts w:hint="eastAsia" w:ascii="Times New Roman" w:hAnsi="Times New Roman" w:eastAsia="仿宋_GB2312" w:cs="Times New Roman"/>
          <w:color w:val="000000"/>
          <w:kern w:val="0"/>
          <w:sz w:val="32"/>
          <w:szCs w:val="21"/>
          <w:lang w:val="en-US" w:eastAsia="zh-CN"/>
        </w:rPr>
        <w:t>②</w:t>
      </w:r>
      <w:r>
        <w:rPr>
          <w:rFonts w:hint="eastAsia" w:ascii="Times New Roman" w:hAnsi="Times New Roman" w:eastAsia="仿宋_GB2312" w:cs="Times New Roman"/>
          <w:color w:val="000000"/>
          <w:kern w:val="0"/>
          <w:sz w:val="32"/>
          <w:szCs w:val="21"/>
        </w:rPr>
        <w:t>表面变形监测点位</w:t>
      </w:r>
    </w:p>
    <w:p w14:paraId="018C4263">
      <w:pPr>
        <w:spacing w:line="360" w:lineRule="auto"/>
        <w:ind w:firstLine="640" w:firstLineChars="200"/>
        <w:rPr>
          <w:rFonts w:hint="eastAsia" w:ascii="Times New Roman" w:hAnsi="Times New Roman" w:eastAsia="仿宋_GB2312" w:cs="Times New Roman"/>
          <w:color w:val="000000"/>
          <w:kern w:val="0"/>
          <w:sz w:val="32"/>
          <w:szCs w:val="21"/>
        </w:rPr>
      </w:pPr>
      <w:r>
        <w:rPr>
          <w:rFonts w:hint="eastAsia" w:ascii="Times New Roman" w:hAnsi="Times New Roman" w:eastAsia="仿宋_GB2312" w:cs="Times New Roman"/>
          <w:color w:val="000000"/>
          <w:kern w:val="0"/>
          <w:sz w:val="32"/>
          <w:szCs w:val="21"/>
        </w:rPr>
        <w:t>条款5.5.3规定表面变形监测点间距为20-50m，主控监测剖面内监测点位不少于3个。该要求综合了湖北地标（断面内测点间距20-50m，不少于3个）、河南地标（一级不少于5个、二级不少于3个）、浙江地标（断面内不少于3个）的规定。监测点应在下列地段加密：地质条件不良地段、受地下水地表水影响较大地段、抗滑桩的桩顶、有滑动迹象或正在进行边坡治理的地段。</w:t>
      </w:r>
    </w:p>
    <w:p w14:paraId="063F0C85">
      <w:pPr>
        <w:spacing w:line="360" w:lineRule="auto"/>
        <w:ind w:firstLine="640" w:firstLineChars="200"/>
        <w:rPr>
          <w:rFonts w:hint="eastAsia" w:ascii="Times New Roman" w:hAnsi="Times New Roman" w:eastAsia="仿宋_GB2312" w:cs="Times New Roman"/>
          <w:color w:val="000000"/>
          <w:kern w:val="0"/>
          <w:sz w:val="32"/>
          <w:szCs w:val="21"/>
        </w:rPr>
      </w:pPr>
      <w:r>
        <w:rPr>
          <w:rFonts w:hint="eastAsia" w:ascii="Times New Roman" w:hAnsi="Times New Roman" w:eastAsia="仿宋_GB2312" w:cs="Times New Roman"/>
          <w:color w:val="000000"/>
          <w:kern w:val="0"/>
          <w:sz w:val="32"/>
          <w:szCs w:val="21"/>
          <w:lang w:val="en-US" w:eastAsia="zh-CN"/>
        </w:rPr>
        <w:t>③</w:t>
      </w:r>
      <w:r>
        <w:rPr>
          <w:rFonts w:hint="eastAsia" w:ascii="Times New Roman" w:hAnsi="Times New Roman" w:eastAsia="仿宋_GB2312" w:cs="Times New Roman"/>
          <w:color w:val="000000"/>
          <w:kern w:val="0"/>
          <w:sz w:val="32"/>
          <w:szCs w:val="21"/>
        </w:rPr>
        <w:t>深部变形监测</w:t>
      </w:r>
    </w:p>
    <w:p w14:paraId="77E6FFB3">
      <w:pPr>
        <w:spacing w:line="360" w:lineRule="auto"/>
        <w:ind w:firstLine="640" w:firstLineChars="200"/>
        <w:rPr>
          <w:rFonts w:hint="eastAsia" w:ascii="Times New Roman" w:hAnsi="Times New Roman" w:eastAsia="仿宋_GB2312" w:cs="Times New Roman"/>
          <w:color w:val="000000"/>
          <w:kern w:val="0"/>
          <w:sz w:val="32"/>
          <w:szCs w:val="21"/>
        </w:rPr>
      </w:pPr>
      <w:r>
        <w:rPr>
          <w:rFonts w:hint="eastAsia" w:ascii="Times New Roman" w:hAnsi="Times New Roman" w:eastAsia="仿宋_GB2312" w:cs="Times New Roman"/>
          <w:color w:val="000000"/>
          <w:kern w:val="0"/>
          <w:sz w:val="32"/>
          <w:szCs w:val="21"/>
        </w:rPr>
        <w:t>条款5.5.4规定监测钻孔应布设在边坡滑动区关键部位，主控监测剖面上数量不少于2个，钻孔内监测点应结合地层分布情况设置，深部变形监测孔应穿过滑动面不少于5m或深入基岩深度不少于2m。调研结果显示，湖北地标规定断面内点位间距30-50m（不少于2个），广东地标规定监测断面30-50m、断面内不少于2个测孔。</w:t>
      </w:r>
    </w:p>
    <w:p w14:paraId="3CD98CCA">
      <w:pPr>
        <w:spacing w:line="360" w:lineRule="auto"/>
        <w:ind w:firstLine="640" w:firstLineChars="200"/>
        <w:rPr>
          <w:rFonts w:hint="eastAsia" w:ascii="Times New Roman" w:hAnsi="Times New Roman" w:eastAsia="仿宋_GB2312" w:cs="Times New Roman"/>
          <w:color w:val="000000"/>
          <w:kern w:val="0"/>
          <w:sz w:val="32"/>
          <w:szCs w:val="21"/>
        </w:rPr>
      </w:pPr>
      <w:r>
        <w:rPr>
          <w:rFonts w:hint="eastAsia" w:ascii="Times New Roman" w:hAnsi="Times New Roman" w:eastAsia="仿宋_GB2312" w:cs="Times New Roman"/>
          <w:color w:val="000000"/>
          <w:kern w:val="0"/>
          <w:sz w:val="32"/>
          <w:szCs w:val="21"/>
          <w:lang w:val="en-US" w:eastAsia="zh-CN"/>
        </w:rPr>
        <w:t>④</w:t>
      </w:r>
      <w:r>
        <w:rPr>
          <w:rFonts w:hint="eastAsia" w:ascii="Times New Roman" w:hAnsi="Times New Roman" w:eastAsia="仿宋_GB2312" w:cs="Times New Roman"/>
          <w:color w:val="000000"/>
          <w:kern w:val="0"/>
          <w:sz w:val="32"/>
          <w:szCs w:val="21"/>
        </w:rPr>
        <w:t>其他监测内容</w:t>
      </w:r>
    </w:p>
    <w:p w14:paraId="72015116">
      <w:pPr>
        <w:spacing w:line="360" w:lineRule="auto"/>
        <w:ind w:firstLine="640" w:firstLineChars="200"/>
        <w:rPr>
          <w:rFonts w:hint="eastAsia" w:ascii="Times New Roman" w:hAnsi="Times New Roman" w:eastAsia="仿宋_GB2312" w:cs="Times New Roman"/>
          <w:color w:val="000000"/>
          <w:kern w:val="0"/>
          <w:sz w:val="32"/>
          <w:szCs w:val="21"/>
        </w:rPr>
      </w:pPr>
      <w:r>
        <w:rPr>
          <w:rFonts w:hint="eastAsia" w:ascii="Times New Roman" w:hAnsi="Times New Roman" w:eastAsia="仿宋_GB2312" w:cs="Times New Roman"/>
          <w:color w:val="000000"/>
          <w:kern w:val="0"/>
          <w:sz w:val="32"/>
          <w:szCs w:val="21"/>
        </w:rPr>
        <w:t>地表裂缝监测：每条裂缝布设不少于2组监测点，分别设在裂缝的最宽处和末端。该要求与湖北地标“每个裂缝不少于2组观测点，设于裂缝最宽处和末端”、重庆地标“每条裂缝不少于2组观测点”的规定一致。</w:t>
      </w:r>
    </w:p>
    <w:p w14:paraId="64DFC13D">
      <w:pPr>
        <w:spacing w:line="360" w:lineRule="auto"/>
        <w:ind w:firstLine="640" w:firstLineChars="200"/>
        <w:rPr>
          <w:rFonts w:hint="eastAsia" w:ascii="Times New Roman" w:hAnsi="Times New Roman" w:eastAsia="仿宋_GB2312" w:cs="Times New Roman"/>
          <w:color w:val="000000"/>
          <w:kern w:val="0"/>
          <w:sz w:val="32"/>
          <w:szCs w:val="21"/>
        </w:rPr>
      </w:pPr>
      <w:r>
        <w:rPr>
          <w:rFonts w:hint="eastAsia" w:ascii="Times New Roman" w:hAnsi="Times New Roman" w:eastAsia="仿宋_GB2312" w:cs="Times New Roman"/>
          <w:color w:val="000000"/>
          <w:kern w:val="0"/>
          <w:sz w:val="32"/>
          <w:szCs w:val="21"/>
        </w:rPr>
        <w:t>雨量计布设：每个边坡1处，5km范围内可共享。该规定参考了广东地标“雨量观测点有效范围5km”的规定。</w:t>
      </w:r>
    </w:p>
    <w:p w14:paraId="3FE63F4D">
      <w:pPr>
        <w:spacing w:line="360" w:lineRule="auto"/>
        <w:ind w:firstLine="640" w:firstLineChars="200"/>
        <w:rPr>
          <w:rFonts w:hint="eastAsia" w:ascii="Times New Roman" w:hAnsi="Times New Roman" w:eastAsia="仿宋_GB2312" w:cs="Times New Roman"/>
          <w:color w:val="000000"/>
          <w:kern w:val="0"/>
          <w:sz w:val="32"/>
          <w:szCs w:val="21"/>
        </w:rPr>
      </w:pPr>
      <w:r>
        <w:rPr>
          <w:rFonts w:hint="eastAsia" w:ascii="Times New Roman" w:hAnsi="Times New Roman" w:eastAsia="仿宋_GB2312" w:cs="Times New Roman"/>
          <w:color w:val="000000"/>
          <w:kern w:val="0"/>
          <w:sz w:val="32"/>
          <w:szCs w:val="21"/>
        </w:rPr>
        <w:t>地下水监测点：主控监测剖面上监测孔的设置不少于2个，优先考虑与深部变形监测点同点布设。该要求与福建地标“每个监测断面不少于2个”、浙江地标“每个监测断面内不少于2个”的规定一致。</w:t>
      </w:r>
    </w:p>
    <w:p w14:paraId="11CF3E86">
      <w:pPr>
        <w:pStyle w:val="16"/>
        <w:keepNext w:val="0"/>
        <w:keepLines w:val="0"/>
        <w:pageBreakBefore w:val="0"/>
        <w:widowControl w:val="0"/>
        <w:numPr>
          <w:ilvl w:val="0"/>
          <w:numId w:val="1"/>
        </w:numPr>
        <w:kinsoku/>
        <w:wordWrap/>
        <w:overflowPunct/>
        <w:topLinePunct w:val="0"/>
        <w:autoSpaceDE/>
        <w:autoSpaceDN/>
        <w:bidi w:val="0"/>
        <w:adjustRightInd/>
        <w:snapToGrid/>
        <w:spacing w:line="360" w:lineRule="auto"/>
        <w:ind w:left="170" w:leftChars="0" w:hanging="170" w:firstLineChars="0"/>
        <w:jc w:val="left"/>
        <w:textAlignment w:val="auto"/>
        <w:rPr>
          <w:rFonts w:hint="eastAsia" w:ascii="Times New Roman" w:hAnsi="Times New Roman" w:eastAsia="仿宋_GB2312"/>
          <w:b/>
          <w:bCs/>
          <w:sz w:val="32"/>
          <w:szCs w:val="32"/>
          <w:lang w:val="en-US" w:eastAsia="zh-CN"/>
        </w:rPr>
      </w:pPr>
      <w:r>
        <w:rPr>
          <w:rFonts w:hint="eastAsia" w:ascii="Times New Roman" w:hAnsi="Times New Roman" w:eastAsia="仿宋_GB2312"/>
          <w:b/>
          <w:bCs/>
          <w:sz w:val="32"/>
          <w:szCs w:val="32"/>
          <w:lang w:val="en-US" w:eastAsia="zh-CN"/>
        </w:rPr>
        <w:t>监测期限、频率及预警（条款5.6）</w:t>
      </w:r>
    </w:p>
    <w:p w14:paraId="0C221372">
      <w:pPr>
        <w:spacing w:line="360" w:lineRule="auto"/>
        <w:ind w:firstLine="640" w:firstLineChars="200"/>
        <w:rPr>
          <w:rFonts w:hint="eastAsia" w:ascii="Times New Roman" w:hAnsi="Times New Roman" w:eastAsia="仿宋_GB2312" w:cs="Times New Roman"/>
          <w:color w:val="000000"/>
          <w:kern w:val="0"/>
          <w:sz w:val="32"/>
          <w:szCs w:val="21"/>
        </w:rPr>
      </w:pPr>
      <w:r>
        <w:rPr>
          <w:rFonts w:hint="eastAsia" w:ascii="Times New Roman" w:hAnsi="Times New Roman" w:eastAsia="仿宋_GB2312" w:cs="Times New Roman"/>
          <w:color w:val="000000"/>
          <w:kern w:val="0"/>
          <w:sz w:val="32"/>
          <w:szCs w:val="21"/>
        </w:rPr>
        <w:t>说明：</w:t>
      </w:r>
    </w:p>
    <w:p w14:paraId="1571CE96">
      <w:pPr>
        <w:spacing w:line="360" w:lineRule="auto"/>
        <w:ind w:firstLine="640" w:firstLineChars="200"/>
        <w:rPr>
          <w:rFonts w:hint="eastAsia" w:ascii="Times New Roman" w:hAnsi="Times New Roman" w:eastAsia="仿宋_GB2312" w:cs="Times New Roman"/>
          <w:color w:val="000000"/>
          <w:kern w:val="0"/>
          <w:sz w:val="32"/>
          <w:szCs w:val="21"/>
        </w:rPr>
      </w:pPr>
      <w:r>
        <w:rPr>
          <w:rFonts w:hint="eastAsia" w:ascii="Times New Roman" w:hAnsi="Times New Roman" w:eastAsia="仿宋_GB2312" w:cs="Times New Roman"/>
          <w:color w:val="000000"/>
          <w:kern w:val="0"/>
          <w:sz w:val="32"/>
          <w:szCs w:val="21"/>
          <w:lang w:val="en-US" w:eastAsia="zh-CN"/>
        </w:rPr>
        <w:t>①</w:t>
      </w:r>
      <w:r>
        <w:rPr>
          <w:rFonts w:hint="eastAsia" w:ascii="Times New Roman" w:hAnsi="Times New Roman" w:eastAsia="仿宋_GB2312" w:cs="Times New Roman"/>
          <w:color w:val="000000"/>
          <w:kern w:val="0"/>
          <w:sz w:val="32"/>
          <w:szCs w:val="21"/>
        </w:rPr>
        <w:t>监测期限</w:t>
      </w:r>
    </w:p>
    <w:p w14:paraId="7AADC9D8">
      <w:pPr>
        <w:spacing w:line="360" w:lineRule="auto"/>
        <w:ind w:firstLine="640" w:firstLineChars="200"/>
        <w:rPr>
          <w:rFonts w:hint="eastAsia" w:ascii="Times New Roman" w:hAnsi="Times New Roman" w:eastAsia="仿宋_GB2312" w:cs="Times New Roman"/>
          <w:color w:val="000000"/>
          <w:kern w:val="0"/>
          <w:sz w:val="32"/>
          <w:szCs w:val="21"/>
        </w:rPr>
      </w:pPr>
      <w:r>
        <w:rPr>
          <w:rFonts w:hint="eastAsia" w:ascii="Times New Roman" w:hAnsi="Times New Roman" w:eastAsia="仿宋_GB2312" w:cs="Times New Roman"/>
          <w:color w:val="000000"/>
          <w:kern w:val="0"/>
          <w:sz w:val="32"/>
          <w:szCs w:val="21"/>
        </w:rPr>
        <w:t>条款5.6.1规定新建公路边坡自动化监测期限宜至边坡工程交工后不少于2年，在役公路边坡至边坡变形稳定。调研结果显示，建筑国标、福建地标、湖北地标、河南团标、重庆地标均规定竣工/交工后不少于2年，路基行标规定营运后不少于1年，浙江地标规定营运后不少于1年。本规程采纳了多数标准采用的“不少于2年”规定。</w:t>
      </w:r>
    </w:p>
    <w:p w14:paraId="2D57BD52">
      <w:pPr>
        <w:spacing w:line="360" w:lineRule="auto"/>
        <w:ind w:firstLine="640" w:firstLineChars="200"/>
        <w:rPr>
          <w:rFonts w:hint="eastAsia" w:ascii="Times New Roman" w:hAnsi="Times New Roman" w:eastAsia="仿宋_GB2312" w:cs="Times New Roman"/>
          <w:color w:val="000000"/>
          <w:kern w:val="0"/>
          <w:sz w:val="32"/>
          <w:szCs w:val="21"/>
        </w:rPr>
      </w:pPr>
      <w:r>
        <w:rPr>
          <w:rFonts w:hint="eastAsia" w:ascii="Times New Roman" w:hAnsi="Times New Roman" w:eastAsia="仿宋_GB2312" w:cs="Times New Roman"/>
          <w:color w:val="000000"/>
          <w:kern w:val="0"/>
          <w:sz w:val="32"/>
          <w:szCs w:val="21"/>
          <w:lang w:val="en-US" w:eastAsia="zh-CN"/>
        </w:rPr>
        <w:t>②</w:t>
      </w:r>
      <w:r>
        <w:rPr>
          <w:rFonts w:hint="eastAsia" w:ascii="Times New Roman" w:hAnsi="Times New Roman" w:eastAsia="仿宋_GB2312" w:cs="Times New Roman"/>
          <w:color w:val="000000"/>
          <w:kern w:val="0"/>
          <w:sz w:val="32"/>
          <w:szCs w:val="21"/>
        </w:rPr>
        <w:t>监测频率</w:t>
      </w:r>
    </w:p>
    <w:p w14:paraId="5F587856">
      <w:pPr>
        <w:spacing w:line="360" w:lineRule="auto"/>
        <w:ind w:firstLine="640" w:firstLineChars="200"/>
        <w:rPr>
          <w:rFonts w:hint="eastAsia" w:ascii="Times New Roman" w:hAnsi="Times New Roman" w:eastAsia="仿宋_GB2312" w:cs="Times New Roman"/>
          <w:color w:val="000000"/>
          <w:kern w:val="0"/>
          <w:sz w:val="32"/>
          <w:szCs w:val="21"/>
        </w:rPr>
      </w:pPr>
      <w:r>
        <w:rPr>
          <w:rFonts w:hint="eastAsia" w:ascii="Times New Roman" w:hAnsi="Times New Roman" w:eastAsia="仿宋_GB2312" w:cs="Times New Roman"/>
          <w:color w:val="000000"/>
          <w:kern w:val="0"/>
          <w:sz w:val="32"/>
          <w:szCs w:val="21"/>
        </w:rPr>
        <w:t>条款5.6.2规定自动化监测项目在边坡正常阶段采集频率宜为1次/1～24小时，当出现数据累积值达到预警值、支护结构物或邻近建（构）筑物出现突发沉降或开裂、暴雨或长时间连续降雨、边坡工程发生险情或事故等情况时，应提高至1次/5～60分钟。该频率规定参考了调研结果：河南地标规定自动化监测10-30min/次，广东地标规定30min/次。本规程采用范围值形式，便于根据边坡监测等级和实际情况灵活调整。</w:t>
      </w:r>
    </w:p>
    <w:p w14:paraId="11CC5F82">
      <w:pPr>
        <w:pStyle w:val="16"/>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643" w:firstLineChars="200"/>
        <w:jc w:val="left"/>
        <w:textAlignment w:val="auto"/>
        <w:outlineLvl w:val="2"/>
        <w:rPr>
          <w:rFonts w:hint="eastAsia" w:ascii="Times New Roman" w:hAnsi="Times New Roman" w:eastAsia="仿宋_GB2312" w:cstheme="minorBidi"/>
          <w:b/>
          <w:bCs/>
          <w:kern w:val="2"/>
          <w:sz w:val="32"/>
          <w:szCs w:val="32"/>
          <w:lang w:val="en-US" w:eastAsia="zh-CN" w:bidi="ar-SA"/>
        </w:rPr>
      </w:pPr>
      <w:r>
        <w:rPr>
          <w:rFonts w:hint="eastAsia" w:ascii="Times New Roman" w:hAnsi="Times New Roman" w:eastAsia="仿宋_GB2312" w:cstheme="minorBidi"/>
          <w:b/>
          <w:bCs/>
          <w:kern w:val="2"/>
          <w:sz w:val="32"/>
          <w:szCs w:val="32"/>
          <w:lang w:val="en-US" w:eastAsia="zh-CN" w:bidi="ar-SA"/>
        </w:rPr>
        <w:t>3. 第六章“系统硬件设备施工”的主要条款说明</w:t>
      </w:r>
    </w:p>
    <w:p w14:paraId="0646976A">
      <w:pPr>
        <w:pStyle w:val="16"/>
        <w:keepNext w:val="0"/>
        <w:keepLines w:val="0"/>
        <w:pageBreakBefore w:val="0"/>
        <w:widowControl w:val="0"/>
        <w:numPr>
          <w:ilvl w:val="0"/>
          <w:numId w:val="1"/>
        </w:numPr>
        <w:kinsoku/>
        <w:wordWrap/>
        <w:overflowPunct/>
        <w:topLinePunct w:val="0"/>
        <w:autoSpaceDE/>
        <w:autoSpaceDN/>
        <w:bidi w:val="0"/>
        <w:adjustRightInd/>
        <w:snapToGrid/>
        <w:spacing w:line="360" w:lineRule="auto"/>
        <w:ind w:left="170" w:leftChars="0" w:hanging="170" w:firstLineChars="0"/>
        <w:jc w:val="left"/>
        <w:textAlignment w:val="auto"/>
        <w:rPr>
          <w:rFonts w:hint="eastAsia" w:ascii="Times New Roman" w:hAnsi="Times New Roman" w:eastAsia="仿宋_GB2312"/>
          <w:b/>
          <w:bCs/>
          <w:sz w:val="32"/>
          <w:szCs w:val="32"/>
          <w:lang w:val="en-US" w:eastAsia="zh-CN"/>
        </w:rPr>
      </w:pPr>
      <w:r>
        <w:rPr>
          <w:rFonts w:hint="eastAsia" w:ascii="Times New Roman" w:hAnsi="Times New Roman" w:eastAsia="仿宋_GB2312"/>
          <w:b/>
          <w:bCs/>
          <w:sz w:val="32"/>
          <w:szCs w:val="32"/>
          <w:lang w:val="en-US" w:eastAsia="zh-CN"/>
        </w:rPr>
        <w:t>设备通用要求（条款6.1.2）</w:t>
      </w:r>
    </w:p>
    <w:p w14:paraId="1B189BC4">
      <w:pPr>
        <w:spacing w:line="360" w:lineRule="auto"/>
        <w:ind w:firstLine="640" w:firstLineChars="200"/>
        <w:rPr>
          <w:rFonts w:hint="eastAsia" w:ascii="Times New Roman" w:hAnsi="Times New Roman" w:eastAsia="仿宋_GB2312" w:cs="Times New Roman"/>
          <w:color w:val="000000"/>
          <w:kern w:val="0"/>
          <w:sz w:val="32"/>
          <w:szCs w:val="21"/>
        </w:rPr>
      </w:pPr>
      <w:r>
        <w:rPr>
          <w:rFonts w:hint="eastAsia" w:ascii="Times New Roman" w:hAnsi="Times New Roman" w:eastAsia="仿宋_GB2312" w:cs="Times New Roman"/>
          <w:color w:val="000000"/>
          <w:kern w:val="0"/>
          <w:sz w:val="32"/>
          <w:szCs w:val="21"/>
        </w:rPr>
        <w:t>说明： 本条款规定了系统硬件设备的环境适应性要求：</w:t>
      </w:r>
    </w:p>
    <w:p w14:paraId="1B790AE2">
      <w:pPr>
        <w:spacing w:line="360" w:lineRule="auto"/>
        <w:ind w:firstLine="640" w:firstLineChars="200"/>
        <w:rPr>
          <w:rFonts w:hint="eastAsia" w:ascii="Times New Roman" w:hAnsi="Times New Roman" w:eastAsia="仿宋_GB2312" w:cs="Times New Roman"/>
          <w:color w:val="000000"/>
          <w:kern w:val="0"/>
          <w:sz w:val="32"/>
          <w:szCs w:val="21"/>
        </w:rPr>
      </w:pPr>
      <w:r>
        <w:rPr>
          <w:rFonts w:hint="eastAsia" w:ascii="Times New Roman" w:hAnsi="Times New Roman" w:eastAsia="仿宋_GB2312" w:cs="Times New Roman"/>
          <w:color w:val="000000"/>
          <w:kern w:val="0"/>
          <w:sz w:val="32"/>
          <w:szCs w:val="21"/>
        </w:rPr>
        <w:t>防护等级：要求外壳防护满足GB/T 4208规定的IP65及以上防护等级。该要求参考了广东地标中GNSS设备防护等级应不低于IP65的规定。</w:t>
      </w:r>
    </w:p>
    <w:p w14:paraId="1CC88F2A">
      <w:pPr>
        <w:spacing w:line="360" w:lineRule="auto"/>
        <w:ind w:firstLine="640" w:firstLineChars="200"/>
        <w:rPr>
          <w:rFonts w:hint="eastAsia" w:ascii="Times New Roman" w:hAnsi="Times New Roman" w:eastAsia="仿宋_GB2312" w:cs="Times New Roman"/>
          <w:color w:val="000000"/>
          <w:kern w:val="0"/>
          <w:sz w:val="32"/>
          <w:szCs w:val="21"/>
        </w:rPr>
      </w:pPr>
      <w:r>
        <w:rPr>
          <w:rFonts w:hint="eastAsia" w:ascii="Times New Roman" w:hAnsi="Times New Roman" w:eastAsia="仿宋_GB2312" w:cs="Times New Roman"/>
          <w:color w:val="000000"/>
          <w:kern w:val="0"/>
          <w:sz w:val="32"/>
          <w:szCs w:val="21"/>
        </w:rPr>
        <w:t>工作温度：要求满足-25℃～70℃。该温度范围覆盖了长三角区域全年极端气温条件。</w:t>
      </w:r>
    </w:p>
    <w:p w14:paraId="245D3665">
      <w:pPr>
        <w:spacing w:line="360" w:lineRule="auto"/>
        <w:ind w:firstLine="640" w:firstLineChars="200"/>
        <w:rPr>
          <w:rFonts w:hint="eastAsia" w:ascii="Times New Roman" w:hAnsi="Times New Roman" w:eastAsia="仿宋_GB2312" w:cs="Times New Roman"/>
          <w:color w:val="000000"/>
          <w:kern w:val="0"/>
          <w:sz w:val="32"/>
          <w:szCs w:val="21"/>
        </w:rPr>
      </w:pPr>
      <w:r>
        <w:rPr>
          <w:rFonts w:hint="eastAsia" w:ascii="Times New Roman" w:hAnsi="Times New Roman" w:eastAsia="仿宋_GB2312" w:cs="Times New Roman"/>
          <w:color w:val="000000"/>
          <w:kern w:val="0"/>
          <w:sz w:val="32"/>
          <w:szCs w:val="21"/>
        </w:rPr>
        <w:t>防雷要求：要求按GB 50343相关要求采取接地措施。GB 50343规定了建筑物电子信息系统防雷的设计、施工、验收和维护管理要求，适用于监测系统硬件设备的防雷保护。</w:t>
      </w:r>
    </w:p>
    <w:p w14:paraId="66C5B738">
      <w:pPr>
        <w:spacing w:line="360" w:lineRule="auto"/>
        <w:ind w:firstLine="640" w:firstLineChars="200"/>
        <w:rPr>
          <w:rFonts w:hint="eastAsia" w:ascii="Times New Roman" w:hAnsi="Times New Roman" w:eastAsia="仿宋_GB2312" w:cs="Times New Roman"/>
          <w:color w:val="000000"/>
          <w:kern w:val="0"/>
          <w:sz w:val="32"/>
          <w:szCs w:val="21"/>
        </w:rPr>
      </w:pPr>
      <w:r>
        <w:rPr>
          <w:rFonts w:hint="eastAsia" w:ascii="Times New Roman" w:hAnsi="Times New Roman" w:eastAsia="仿宋_GB2312" w:cs="Times New Roman"/>
          <w:color w:val="000000"/>
          <w:kern w:val="0"/>
          <w:sz w:val="32"/>
          <w:szCs w:val="21"/>
        </w:rPr>
        <w:t>通信功能：要求采集传输设备应具备双向通信和远程调试功能，支持2路及以上服务器地址数据发送，支持TCP、HTTP、MQTT等多种通讯协议。</w:t>
      </w:r>
    </w:p>
    <w:p w14:paraId="44F4BE25">
      <w:pPr>
        <w:spacing w:line="360" w:lineRule="auto"/>
        <w:ind w:firstLine="640" w:firstLineChars="200"/>
        <w:rPr>
          <w:rFonts w:hint="eastAsia" w:ascii="Times New Roman" w:hAnsi="Times New Roman" w:eastAsia="仿宋_GB2312" w:cs="Times New Roman"/>
          <w:color w:val="000000"/>
          <w:kern w:val="0"/>
          <w:sz w:val="32"/>
          <w:szCs w:val="21"/>
        </w:rPr>
      </w:pPr>
      <w:r>
        <w:rPr>
          <w:rFonts w:hint="eastAsia" w:ascii="Times New Roman" w:hAnsi="Times New Roman" w:eastAsia="仿宋_GB2312" w:cs="Times New Roman"/>
          <w:color w:val="000000"/>
          <w:kern w:val="0"/>
          <w:sz w:val="32"/>
          <w:szCs w:val="21"/>
        </w:rPr>
        <w:t>供电保障：要求采用太阳能或市电供电，同时辅以高性能电池作为备用电源，供配电系统同时符合GB 50052和GB 50054相关规定。</w:t>
      </w:r>
    </w:p>
    <w:p w14:paraId="5EB5C6C2">
      <w:pPr>
        <w:pStyle w:val="16"/>
        <w:keepNext w:val="0"/>
        <w:keepLines w:val="0"/>
        <w:pageBreakBefore w:val="0"/>
        <w:widowControl w:val="0"/>
        <w:numPr>
          <w:ilvl w:val="0"/>
          <w:numId w:val="1"/>
        </w:numPr>
        <w:kinsoku/>
        <w:wordWrap/>
        <w:overflowPunct/>
        <w:topLinePunct w:val="0"/>
        <w:autoSpaceDE/>
        <w:autoSpaceDN/>
        <w:bidi w:val="0"/>
        <w:adjustRightInd/>
        <w:snapToGrid/>
        <w:spacing w:line="360" w:lineRule="auto"/>
        <w:ind w:left="170" w:leftChars="0" w:hanging="170" w:firstLineChars="0"/>
        <w:jc w:val="left"/>
        <w:textAlignment w:val="auto"/>
        <w:rPr>
          <w:rFonts w:hint="eastAsia" w:ascii="Times New Roman" w:hAnsi="Times New Roman" w:eastAsia="仿宋_GB2312"/>
          <w:b/>
          <w:bCs/>
          <w:sz w:val="32"/>
          <w:szCs w:val="32"/>
          <w:lang w:val="en-US" w:eastAsia="zh-CN"/>
        </w:rPr>
      </w:pPr>
      <w:r>
        <w:rPr>
          <w:rFonts w:hint="eastAsia" w:ascii="Times New Roman" w:hAnsi="Times New Roman" w:eastAsia="仿宋_GB2312"/>
          <w:b/>
          <w:bCs/>
          <w:sz w:val="32"/>
          <w:szCs w:val="32"/>
          <w:lang w:val="en-US" w:eastAsia="zh-CN"/>
        </w:rPr>
        <w:t>设备安装（条款6.2）</w:t>
      </w:r>
    </w:p>
    <w:p w14:paraId="58F66AE7">
      <w:pPr>
        <w:spacing w:line="360" w:lineRule="auto"/>
        <w:ind w:firstLine="640" w:firstLineChars="200"/>
        <w:rPr>
          <w:rFonts w:hint="eastAsia" w:ascii="Times New Roman" w:hAnsi="Times New Roman" w:eastAsia="仿宋_GB2312" w:cs="Times New Roman"/>
          <w:color w:val="000000"/>
          <w:kern w:val="0"/>
          <w:sz w:val="32"/>
          <w:szCs w:val="21"/>
        </w:rPr>
      </w:pPr>
      <w:r>
        <w:rPr>
          <w:rFonts w:hint="eastAsia" w:ascii="Times New Roman" w:hAnsi="Times New Roman" w:eastAsia="仿宋_GB2312" w:cs="Times New Roman"/>
          <w:color w:val="000000"/>
          <w:kern w:val="0"/>
          <w:sz w:val="32"/>
          <w:szCs w:val="21"/>
        </w:rPr>
        <w:t>说明： 本条款对监测点基础施工和各类设备的安装要求进行了具体规定：</w:t>
      </w:r>
    </w:p>
    <w:p w14:paraId="4726BD02">
      <w:pPr>
        <w:spacing w:line="360" w:lineRule="auto"/>
        <w:ind w:firstLine="640" w:firstLineChars="200"/>
        <w:rPr>
          <w:rFonts w:hint="eastAsia" w:ascii="Times New Roman" w:hAnsi="Times New Roman" w:eastAsia="仿宋_GB2312" w:cs="Times New Roman"/>
          <w:color w:val="000000"/>
          <w:kern w:val="0"/>
          <w:sz w:val="32"/>
          <w:szCs w:val="21"/>
        </w:rPr>
      </w:pPr>
      <w:r>
        <w:rPr>
          <w:rFonts w:hint="eastAsia" w:ascii="Times New Roman" w:hAnsi="Times New Roman" w:eastAsia="仿宋_GB2312" w:cs="Times New Roman"/>
          <w:color w:val="000000"/>
          <w:kern w:val="0"/>
          <w:sz w:val="32"/>
          <w:szCs w:val="21"/>
        </w:rPr>
        <w:t>监测点基础施工应满足变形及稳定性要求，对于加装太阳能电池板等受风力影响较大的设备，应按GB 51101进行设计。</w:t>
      </w:r>
    </w:p>
    <w:p w14:paraId="72180AD8">
      <w:pPr>
        <w:spacing w:line="360" w:lineRule="auto"/>
        <w:ind w:firstLine="640" w:firstLineChars="200"/>
        <w:rPr>
          <w:rFonts w:hint="eastAsia" w:ascii="Times New Roman" w:hAnsi="Times New Roman" w:eastAsia="仿宋_GB2312" w:cs="Times New Roman"/>
          <w:color w:val="000000"/>
          <w:kern w:val="0"/>
          <w:sz w:val="32"/>
          <w:szCs w:val="21"/>
        </w:rPr>
      </w:pPr>
      <w:r>
        <w:rPr>
          <w:rFonts w:hint="eastAsia" w:ascii="Times New Roman" w:hAnsi="Times New Roman" w:eastAsia="仿宋_GB2312" w:cs="Times New Roman"/>
          <w:color w:val="000000"/>
          <w:kern w:val="0"/>
          <w:sz w:val="32"/>
          <w:szCs w:val="21"/>
        </w:rPr>
        <w:t>深部变形监测中测斜管的埋设应保持竖直，导槽方向与所需测量坡体水平变形方向保持一致。该要求参考了湖北地标和重庆地标的相关规定</w:t>
      </w:r>
      <w:r>
        <w:rPr>
          <w:rFonts w:hint="eastAsia" w:ascii="Times New Roman" w:hAnsi="Times New Roman" w:eastAsia="仿宋_GB2312" w:cs="Times New Roman"/>
          <w:color w:val="000000"/>
          <w:kern w:val="0"/>
          <w:sz w:val="32"/>
          <w:szCs w:val="21"/>
          <w:lang w:val="en-US" w:eastAsia="zh-CN"/>
        </w:rPr>
        <w:t>和实际工程经验总结</w:t>
      </w:r>
      <w:r>
        <w:rPr>
          <w:rFonts w:hint="eastAsia" w:ascii="Times New Roman" w:hAnsi="Times New Roman" w:eastAsia="仿宋_GB2312" w:cs="Times New Roman"/>
          <w:color w:val="000000"/>
          <w:kern w:val="0"/>
          <w:sz w:val="32"/>
          <w:szCs w:val="21"/>
        </w:rPr>
        <w:t>。</w:t>
      </w:r>
    </w:p>
    <w:p w14:paraId="5921C53D">
      <w:pPr>
        <w:spacing w:line="360" w:lineRule="auto"/>
        <w:ind w:firstLine="640" w:firstLineChars="200"/>
        <w:rPr>
          <w:rFonts w:hint="eastAsia" w:ascii="Times New Roman" w:hAnsi="Times New Roman" w:eastAsia="仿宋_GB2312" w:cs="Times New Roman"/>
          <w:color w:val="000000"/>
          <w:kern w:val="0"/>
          <w:sz w:val="32"/>
          <w:szCs w:val="21"/>
        </w:rPr>
      </w:pPr>
      <w:r>
        <w:rPr>
          <w:rFonts w:hint="eastAsia" w:ascii="Times New Roman" w:hAnsi="Times New Roman" w:eastAsia="仿宋_GB2312" w:cs="Times New Roman"/>
          <w:color w:val="000000"/>
          <w:kern w:val="0"/>
          <w:sz w:val="32"/>
          <w:szCs w:val="21"/>
        </w:rPr>
        <w:t>裂缝计应垂直穿过裂缝安装在主裂缝位置，采用拉绳式裂缝计时应用保护管对拉绳进行保护。</w:t>
      </w:r>
    </w:p>
    <w:p w14:paraId="6C972959">
      <w:pPr>
        <w:spacing w:line="360" w:lineRule="auto"/>
        <w:ind w:firstLine="640" w:firstLineChars="200"/>
        <w:rPr>
          <w:rFonts w:hint="eastAsia" w:ascii="Times New Roman" w:hAnsi="Times New Roman" w:eastAsia="仿宋_GB2312" w:cs="Times New Roman"/>
          <w:color w:val="000000"/>
          <w:kern w:val="0"/>
          <w:sz w:val="32"/>
          <w:szCs w:val="21"/>
        </w:rPr>
      </w:pPr>
      <w:r>
        <w:rPr>
          <w:rFonts w:hint="eastAsia" w:ascii="Times New Roman" w:hAnsi="Times New Roman" w:eastAsia="仿宋_GB2312" w:cs="Times New Roman"/>
          <w:color w:val="000000"/>
          <w:kern w:val="0"/>
          <w:sz w:val="32"/>
          <w:szCs w:val="21"/>
        </w:rPr>
        <w:t>土压力盒的受力面应与所监测的压力方向垂直并紧贴被监测对象。</w:t>
      </w:r>
    </w:p>
    <w:p w14:paraId="3DB89ED7">
      <w:pPr>
        <w:pStyle w:val="16"/>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643" w:firstLineChars="200"/>
        <w:jc w:val="left"/>
        <w:textAlignment w:val="auto"/>
        <w:outlineLvl w:val="2"/>
        <w:rPr>
          <w:rFonts w:hint="eastAsia" w:ascii="Times New Roman" w:hAnsi="Times New Roman" w:eastAsia="仿宋_GB2312" w:cstheme="minorBidi"/>
          <w:b/>
          <w:bCs/>
          <w:kern w:val="2"/>
          <w:sz w:val="32"/>
          <w:szCs w:val="32"/>
          <w:lang w:val="en-US" w:eastAsia="zh-CN" w:bidi="ar-SA"/>
        </w:rPr>
      </w:pPr>
      <w:r>
        <w:rPr>
          <w:rFonts w:hint="eastAsia" w:ascii="Times New Roman" w:hAnsi="Times New Roman" w:eastAsia="仿宋_GB2312" w:cstheme="minorBidi"/>
          <w:b/>
          <w:bCs/>
          <w:kern w:val="2"/>
          <w:sz w:val="32"/>
          <w:szCs w:val="32"/>
          <w:lang w:val="en-US" w:eastAsia="zh-CN" w:bidi="ar-SA"/>
        </w:rPr>
        <w:t>4. 第七章“监测软件施工”的主要条款说明</w:t>
      </w:r>
    </w:p>
    <w:p w14:paraId="57D9246E">
      <w:pPr>
        <w:pStyle w:val="16"/>
        <w:keepNext w:val="0"/>
        <w:keepLines w:val="0"/>
        <w:pageBreakBefore w:val="0"/>
        <w:widowControl w:val="0"/>
        <w:numPr>
          <w:ilvl w:val="0"/>
          <w:numId w:val="1"/>
        </w:numPr>
        <w:kinsoku/>
        <w:wordWrap/>
        <w:overflowPunct/>
        <w:topLinePunct w:val="0"/>
        <w:autoSpaceDE/>
        <w:autoSpaceDN/>
        <w:bidi w:val="0"/>
        <w:adjustRightInd/>
        <w:snapToGrid/>
        <w:spacing w:line="360" w:lineRule="auto"/>
        <w:ind w:left="170" w:leftChars="0" w:hanging="170" w:firstLineChars="0"/>
        <w:jc w:val="left"/>
        <w:textAlignment w:val="auto"/>
        <w:rPr>
          <w:rFonts w:hint="eastAsia" w:ascii="Times New Roman" w:hAnsi="Times New Roman" w:eastAsia="仿宋_GB2312"/>
          <w:b/>
          <w:bCs/>
          <w:sz w:val="32"/>
          <w:szCs w:val="32"/>
          <w:lang w:val="en-US" w:eastAsia="zh-CN"/>
        </w:rPr>
      </w:pPr>
      <w:r>
        <w:rPr>
          <w:rFonts w:hint="eastAsia" w:ascii="Times New Roman" w:hAnsi="Times New Roman" w:eastAsia="仿宋_GB2312"/>
          <w:b/>
          <w:bCs/>
          <w:sz w:val="32"/>
          <w:szCs w:val="32"/>
          <w:lang w:val="en-US" w:eastAsia="zh-CN"/>
        </w:rPr>
        <w:t>软件架构与数据安全（条款7.1）</w:t>
      </w:r>
    </w:p>
    <w:p w14:paraId="2DB0B018">
      <w:pPr>
        <w:spacing w:line="360" w:lineRule="auto"/>
        <w:ind w:firstLine="640" w:firstLineChars="200"/>
        <w:rPr>
          <w:rFonts w:hint="eastAsia" w:ascii="Times New Roman" w:hAnsi="Times New Roman" w:eastAsia="仿宋_GB2312" w:cs="Times New Roman"/>
          <w:color w:val="000000"/>
          <w:kern w:val="0"/>
          <w:sz w:val="32"/>
          <w:szCs w:val="21"/>
        </w:rPr>
      </w:pPr>
      <w:r>
        <w:rPr>
          <w:rFonts w:hint="eastAsia" w:ascii="Times New Roman" w:hAnsi="Times New Roman" w:eastAsia="仿宋_GB2312" w:cs="Times New Roman"/>
          <w:color w:val="000000"/>
          <w:kern w:val="0"/>
          <w:sz w:val="32"/>
          <w:szCs w:val="21"/>
        </w:rPr>
        <w:t>说明： 本条款规定了监测软件的构建原则和安全要求：</w:t>
      </w:r>
    </w:p>
    <w:p w14:paraId="609A2853">
      <w:pPr>
        <w:spacing w:line="360" w:lineRule="auto"/>
        <w:ind w:firstLine="640" w:firstLineChars="200"/>
        <w:rPr>
          <w:rFonts w:hint="eastAsia" w:ascii="Times New Roman" w:hAnsi="Times New Roman" w:eastAsia="仿宋_GB2312" w:cs="Times New Roman"/>
          <w:color w:val="000000"/>
          <w:kern w:val="0"/>
          <w:sz w:val="32"/>
          <w:szCs w:val="21"/>
        </w:rPr>
      </w:pPr>
      <w:r>
        <w:rPr>
          <w:rFonts w:hint="eastAsia" w:ascii="Times New Roman" w:hAnsi="Times New Roman" w:eastAsia="仿宋_GB2312" w:cs="Times New Roman"/>
          <w:color w:val="000000"/>
          <w:kern w:val="0"/>
          <w:sz w:val="32"/>
          <w:szCs w:val="21"/>
        </w:rPr>
        <w:t>架构要求：宜采用B/S架构，满足并发访问需求。B/S架构具有良好的跨平台性和可维护性，便于各级管理部门通过浏览器远程访问监测数据。</w:t>
      </w:r>
    </w:p>
    <w:p w14:paraId="5F181B25">
      <w:pPr>
        <w:spacing w:line="360" w:lineRule="auto"/>
        <w:ind w:firstLine="640" w:firstLineChars="200"/>
        <w:rPr>
          <w:rFonts w:hint="eastAsia" w:ascii="Times New Roman" w:hAnsi="Times New Roman" w:eastAsia="仿宋_GB2312" w:cs="Times New Roman"/>
          <w:color w:val="000000"/>
          <w:kern w:val="0"/>
          <w:sz w:val="32"/>
          <w:szCs w:val="21"/>
        </w:rPr>
      </w:pPr>
      <w:r>
        <w:rPr>
          <w:rFonts w:hint="eastAsia" w:ascii="Times New Roman" w:hAnsi="Times New Roman" w:eastAsia="仿宋_GB2312" w:cs="Times New Roman"/>
          <w:color w:val="000000"/>
          <w:kern w:val="0"/>
          <w:sz w:val="32"/>
          <w:szCs w:val="21"/>
        </w:rPr>
        <w:t>数据安全要求：条款7.1.4规定数据加密、身份鉴别等应符合GB/T 22239、GB/T 25070要求。GB/T 22239《信息安全技术 网络安全等级保护基本要求》规定了网络安全等级保护的基本要求，交通运输行业还须满足JT/T 1417-2022《交通运输行业网络安全等级保护基本要求》。边坡监测系统作为交通运输行业信息系统，应按照JT/T 904-2023《交通运输行业网络安全等级保护定级指南》进行等级保护定级，并落实相应的安全保护措施。安全等级保护测评工作包括安全技术测评（物理安全、网络安全、主机系统安全、应用安全和数据安全）和安全管理测评（安全管理机构、安全管理制度、人员安全管理、系统建设管理和系统运维管理）。</w:t>
      </w:r>
    </w:p>
    <w:p w14:paraId="0FD067B2">
      <w:pPr>
        <w:pStyle w:val="16"/>
        <w:keepNext w:val="0"/>
        <w:keepLines w:val="0"/>
        <w:pageBreakBefore w:val="0"/>
        <w:widowControl w:val="0"/>
        <w:numPr>
          <w:ilvl w:val="0"/>
          <w:numId w:val="1"/>
        </w:numPr>
        <w:kinsoku/>
        <w:wordWrap/>
        <w:overflowPunct/>
        <w:topLinePunct w:val="0"/>
        <w:autoSpaceDE/>
        <w:autoSpaceDN/>
        <w:bidi w:val="0"/>
        <w:adjustRightInd/>
        <w:snapToGrid/>
        <w:spacing w:line="360" w:lineRule="auto"/>
        <w:ind w:left="170" w:leftChars="0" w:hanging="170" w:firstLineChars="0"/>
        <w:jc w:val="left"/>
        <w:textAlignment w:val="auto"/>
        <w:rPr>
          <w:rFonts w:hint="eastAsia" w:ascii="Times New Roman" w:hAnsi="Times New Roman" w:eastAsia="仿宋_GB2312"/>
          <w:b/>
          <w:bCs/>
          <w:sz w:val="32"/>
          <w:szCs w:val="32"/>
          <w:lang w:val="en-US" w:eastAsia="zh-CN"/>
        </w:rPr>
      </w:pPr>
      <w:r>
        <w:rPr>
          <w:rFonts w:hint="eastAsia" w:ascii="Times New Roman" w:hAnsi="Times New Roman" w:eastAsia="仿宋_GB2312"/>
          <w:b/>
          <w:bCs/>
          <w:sz w:val="32"/>
          <w:szCs w:val="32"/>
          <w:lang w:val="en-US" w:eastAsia="zh-CN"/>
        </w:rPr>
        <w:t>软件功能要求（条款7.2）</w:t>
      </w:r>
    </w:p>
    <w:p w14:paraId="7D09503D">
      <w:pPr>
        <w:spacing w:line="360" w:lineRule="auto"/>
        <w:ind w:firstLine="640" w:firstLineChars="200"/>
        <w:rPr>
          <w:rFonts w:hint="eastAsia" w:ascii="Times New Roman" w:hAnsi="Times New Roman" w:eastAsia="仿宋_GB2312" w:cs="Times New Roman"/>
          <w:color w:val="000000"/>
          <w:kern w:val="0"/>
          <w:sz w:val="32"/>
          <w:szCs w:val="21"/>
        </w:rPr>
      </w:pPr>
      <w:r>
        <w:rPr>
          <w:rFonts w:hint="eastAsia" w:ascii="Times New Roman" w:hAnsi="Times New Roman" w:eastAsia="仿宋_GB2312" w:cs="Times New Roman"/>
          <w:color w:val="000000"/>
          <w:kern w:val="0"/>
          <w:sz w:val="32"/>
          <w:szCs w:val="21"/>
        </w:rPr>
        <w:t>说明： 本条款规定了监测软件应具备的专业图形化展示、变形数据分析、设备状态显示和预警推送四大核心功能。该功能要求的确定</w:t>
      </w:r>
      <w:r>
        <w:rPr>
          <w:rFonts w:hint="eastAsia" w:ascii="Times New Roman" w:hAnsi="Times New Roman" w:eastAsia="仿宋_GB2312" w:cs="Times New Roman"/>
          <w:color w:val="000000"/>
          <w:kern w:val="0"/>
          <w:sz w:val="32"/>
          <w:szCs w:val="21"/>
          <w:lang w:val="en-US" w:eastAsia="zh-CN"/>
        </w:rPr>
        <w:t>来自实地工程调研</w:t>
      </w:r>
      <w:r>
        <w:rPr>
          <w:rFonts w:hint="eastAsia" w:ascii="Times New Roman" w:hAnsi="Times New Roman" w:eastAsia="仿宋_GB2312" w:cs="Times New Roman"/>
          <w:color w:val="000000"/>
          <w:kern w:val="0"/>
          <w:sz w:val="32"/>
          <w:szCs w:val="21"/>
        </w:rPr>
        <w:t>。</w:t>
      </w:r>
    </w:p>
    <w:p w14:paraId="67FB2F6F">
      <w:pPr>
        <w:pStyle w:val="16"/>
        <w:keepNext w:val="0"/>
        <w:keepLines w:val="0"/>
        <w:pageBreakBefore w:val="0"/>
        <w:widowControl w:val="0"/>
        <w:numPr>
          <w:ilvl w:val="0"/>
          <w:numId w:val="1"/>
        </w:numPr>
        <w:kinsoku/>
        <w:wordWrap/>
        <w:overflowPunct/>
        <w:topLinePunct w:val="0"/>
        <w:autoSpaceDE/>
        <w:autoSpaceDN/>
        <w:bidi w:val="0"/>
        <w:adjustRightInd/>
        <w:snapToGrid/>
        <w:spacing w:line="360" w:lineRule="auto"/>
        <w:ind w:left="170" w:leftChars="0" w:hanging="170" w:firstLineChars="0"/>
        <w:jc w:val="left"/>
        <w:textAlignment w:val="auto"/>
        <w:rPr>
          <w:rFonts w:hint="eastAsia" w:ascii="Times New Roman" w:hAnsi="Times New Roman" w:eastAsia="仿宋_GB2312"/>
          <w:b/>
          <w:bCs/>
          <w:sz w:val="32"/>
          <w:szCs w:val="32"/>
          <w:lang w:val="en-US" w:eastAsia="zh-CN"/>
        </w:rPr>
      </w:pPr>
      <w:r>
        <w:rPr>
          <w:rFonts w:hint="eastAsia" w:ascii="Times New Roman" w:hAnsi="Times New Roman" w:eastAsia="仿宋_GB2312"/>
          <w:b/>
          <w:bCs/>
          <w:sz w:val="32"/>
          <w:szCs w:val="32"/>
          <w:lang w:val="en-US" w:eastAsia="zh-CN"/>
        </w:rPr>
        <w:t>数据管理及分析（条款7.3）</w:t>
      </w:r>
    </w:p>
    <w:p w14:paraId="32CE9E3E">
      <w:pPr>
        <w:spacing w:line="360" w:lineRule="auto"/>
        <w:ind w:firstLine="640" w:firstLineChars="200"/>
        <w:rPr>
          <w:rFonts w:hint="eastAsia" w:ascii="Times New Roman" w:hAnsi="Times New Roman" w:eastAsia="仿宋_GB2312" w:cs="Times New Roman"/>
          <w:color w:val="000000"/>
          <w:kern w:val="0"/>
          <w:sz w:val="32"/>
          <w:szCs w:val="21"/>
        </w:rPr>
      </w:pPr>
      <w:r>
        <w:rPr>
          <w:rFonts w:hint="eastAsia" w:ascii="Times New Roman" w:hAnsi="Times New Roman" w:eastAsia="仿宋_GB2312" w:cs="Times New Roman"/>
          <w:color w:val="000000"/>
          <w:kern w:val="0"/>
          <w:sz w:val="32"/>
          <w:szCs w:val="21"/>
        </w:rPr>
        <w:t>说明： 本条款规定了监测数据的处理与管理要求：</w:t>
      </w:r>
    </w:p>
    <w:p w14:paraId="2A5A68E9">
      <w:pPr>
        <w:spacing w:line="360" w:lineRule="auto"/>
        <w:ind w:firstLine="640" w:firstLineChars="200"/>
        <w:rPr>
          <w:rFonts w:hint="eastAsia" w:ascii="Times New Roman" w:hAnsi="Times New Roman" w:eastAsia="仿宋_GB2312" w:cs="Times New Roman"/>
          <w:color w:val="000000"/>
          <w:kern w:val="0"/>
          <w:sz w:val="32"/>
          <w:szCs w:val="21"/>
        </w:rPr>
      </w:pPr>
      <w:r>
        <w:rPr>
          <w:rFonts w:hint="eastAsia" w:ascii="Times New Roman" w:hAnsi="Times New Roman" w:eastAsia="仿宋_GB2312" w:cs="Times New Roman"/>
          <w:color w:val="000000"/>
          <w:kern w:val="0"/>
          <w:sz w:val="32"/>
          <w:szCs w:val="21"/>
        </w:rPr>
        <w:t>数据内容应包含边坡基本信息、监测设备信息、实时监测数据、预警信息等。</w:t>
      </w:r>
    </w:p>
    <w:p w14:paraId="4A8CE3F4">
      <w:pPr>
        <w:spacing w:line="360" w:lineRule="auto"/>
        <w:ind w:firstLine="640" w:firstLineChars="200"/>
        <w:rPr>
          <w:rFonts w:hint="eastAsia" w:ascii="Times New Roman" w:hAnsi="Times New Roman" w:eastAsia="仿宋_GB2312" w:cs="Times New Roman"/>
          <w:color w:val="000000"/>
          <w:kern w:val="0"/>
          <w:sz w:val="32"/>
          <w:szCs w:val="21"/>
        </w:rPr>
      </w:pPr>
      <w:r>
        <w:rPr>
          <w:rFonts w:hint="eastAsia" w:ascii="Times New Roman" w:hAnsi="Times New Roman" w:eastAsia="仿宋_GB2312" w:cs="Times New Roman"/>
          <w:color w:val="000000"/>
          <w:kern w:val="0"/>
          <w:sz w:val="32"/>
          <w:szCs w:val="21"/>
        </w:rPr>
        <w:t>分析前应剔除错误数据，可采用相关性分析、趋势性分析等方法。</w:t>
      </w:r>
    </w:p>
    <w:p w14:paraId="2B82B209">
      <w:pPr>
        <w:spacing w:line="360" w:lineRule="auto"/>
        <w:ind w:firstLine="640" w:firstLineChars="200"/>
        <w:rPr>
          <w:rFonts w:hint="eastAsia" w:ascii="Times New Roman" w:hAnsi="Times New Roman" w:eastAsia="仿宋_GB2312" w:cs="Times New Roman"/>
          <w:color w:val="000000"/>
          <w:kern w:val="0"/>
          <w:sz w:val="32"/>
          <w:szCs w:val="21"/>
        </w:rPr>
      </w:pPr>
      <w:r>
        <w:rPr>
          <w:rFonts w:hint="eastAsia" w:ascii="Times New Roman" w:hAnsi="Times New Roman" w:eastAsia="仿宋_GB2312" w:cs="Times New Roman"/>
          <w:color w:val="000000"/>
          <w:kern w:val="0"/>
          <w:sz w:val="32"/>
          <w:szCs w:val="21"/>
        </w:rPr>
        <w:t>监控中心机房实时监测数据存储时间宜&gt;2年，视频、图像等非结构化数据存储宜&gt;90天。该要求参考了公路工程电子档案管理的相关规定，确保监测数据的可追溯性。</w:t>
      </w:r>
    </w:p>
    <w:p w14:paraId="238F44A0">
      <w:pPr>
        <w:pStyle w:val="16"/>
        <w:keepNext w:val="0"/>
        <w:keepLines w:val="0"/>
        <w:pageBreakBefore w:val="0"/>
        <w:widowControl w:val="0"/>
        <w:numPr>
          <w:ilvl w:val="0"/>
          <w:numId w:val="1"/>
        </w:numPr>
        <w:kinsoku/>
        <w:wordWrap/>
        <w:overflowPunct/>
        <w:topLinePunct w:val="0"/>
        <w:autoSpaceDE/>
        <w:autoSpaceDN/>
        <w:bidi w:val="0"/>
        <w:adjustRightInd/>
        <w:snapToGrid/>
        <w:spacing w:line="360" w:lineRule="auto"/>
        <w:ind w:left="170" w:leftChars="0" w:hanging="170" w:firstLineChars="0"/>
        <w:jc w:val="left"/>
        <w:textAlignment w:val="auto"/>
        <w:rPr>
          <w:rFonts w:hint="eastAsia" w:ascii="Times New Roman" w:hAnsi="Times New Roman" w:eastAsia="仿宋_GB2312"/>
          <w:b/>
          <w:bCs/>
          <w:sz w:val="32"/>
          <w:szCs w:val="32"/>
          <w:lang w:val="en-US" w:eastAsia="zh-CN"/>
        </w:rPr>
      </w:pPr>
      <w:r>
        <w:rPr>
          <w:rFonts w:hint="eastAsia" w:ascii="Times New Roman" w:hAnsi="Times New Roman" w:eastAsia="仿宋_GB2312"/>
          <w:b/>
          <w:bCs/>
          <w:sz w:val="32"/>
          <w:szCs w:val="32"/>
          <w:lang w:val="en-US" w:eastAsia="zh-CN"/>
        </w:rPr>
        <w:t>监测预警（条款7.4）</w:t>
      </w:r>
    </w:p>
    <w:p w14:paraId="1A854A9D">
      <w:pPr>
        <w:spacing w:line="360" w:lineRule="auto"/>
        <w:ind w:firstLine="640" w:firstLineChars="200"/>
        <w:rPr>
          <w:rFonts w:hint="eastAsia" w:ascii="Times New Roman" w:hAnsi="Times New Roman" w:eastAsia="仿宋_GB2312" w:cs="Times New Roman"/>
          <w:color w:val="000000"/>
          <w:kern w:val="0"/>
          <w:sz w:val="32"/>
          <w:szCs w:val="21"/>
        </w:rPr>
      </w:pPr>
      <w:r>
        <w:rPr>
          <w:rFonts w:hint="eastAsia" w:ascii="Times New Roman" w:hAnsi="Times New Roman" w:eastAsia="仿宋_GB2312" w:cs="Times New Roman"/>
          <w:color w:val="000000"/>
          <w:kern w:val="0"/>
          <w:sz w:val="32"/>
          <w:szCs w:val="21"/>
        </w:rPr>
        <w:t>说明： 本条款规定了监测预警值的设置方法和预警等级划分：</w:t>
      </w:r>
    </w:p>
    <w:p w14:paraId="2E003119">
      <w:pPr>
        <w:spacing w:line="360" w:lineRule="auto"/>
        <w:ind w:firstLine="640" w:firstLineChars="200"/>
        <w:rPr>
          <w:rFonts w:hint="eastAsia" w:ascii="Times New Roman" w:hAnsi="Times New Roman" w:eastAsia="仿宋_GB2312" w:cs="Times New Roman"/>
          <w:color w:val="000000"/>
          <w:kern w:val="0"/>
          <w:sz w:val="32"/>
          <w:szCs w:val="21"/>
        </w:rPr>
      </w:pPr>
      <w:r>
        <w:rPr>
          <w:rFonts w:hint="eastAsia" w:ascii="Times New Roman" w:hAnsi="Times New Roman" w:eastAsia="仿宋_GB2312" w:cs="Times New Roman"/>
          <w:color w:val="000000"/>
          <w:kern w:val="0"/>
          <w:sz w:val="32"/>
          <w:szCs w:val="21"/>
          <w:lang w:val="en-US" w:eastAsia="zh-CN"/>
        </w:rPr>
        <w:t>①</w:t>
      </w:r>
      <w:r>
        <w:rPr>
          <w:rFonts w:hint="eastAsia" w:ascii="Times New Roman" w:hAnsi="Times New Roman" w:eastAsia="仿宋_GB2312" w:cs="Times New Roman"/>
          <w:color w:val="000000"/>
          <w:kern w:val="0"/>
          <w:sz w:val="32"/>
          <w:szCs w:val="21"/>
        </w:rPr>
        <w:t>变形预警值</w:t>
      </w:r>
    </w:p>
    <w:p w14:paraId="58A24587">
      <w:pPr>
        <w:spacing w:line="360" w:lineRule="auto"/>
        <w:ind w:firstLine="640" w:firstLineChars="200"/>
        <w:rPr>
          <w:rFonts w:hint="eastAsia" w:ascii="Times New Roman" w:hAnsi="Times New Roman" w:eastAsia="仿宋_GB2312" w:cs="Times New Roman"/>
          <w:color w:val="000000"/>
          <w:kern w:val="0"/>
          <w:sz w:val="32"/>
          <w:szCs w:val="21"/>
        </w:rPr>
      </w:pPr>
      <w:r>
        <w:rPr>
          <w:rFonts w:hint="eastAsia" w:ascii="Times New Roman" w:hAnsi="Times New Roman" w:eastAsia="仿宋_GB2312" w:cs="Times New Roman"/>
          <w:color w:val="000000"/>
          <w:kern w:val="0"/>
          <w:sz w:val="32"/>
          <w:szCs w:val="21"/>
        </w:rPr>
        <w:t>条款7.4.1和表3规定了边坡变形预警值。</w:t>
      </w:r>
    </w:p>
    <w:p w14:paraId="0ED3742F">
      <w:pPr>
        <w:spacing w:line="360" w:lineRule="auto"/>
        <w:ind w:firstLine="640" w:firstLineChars="200"/>
        <w:rPr>
          <w:rFonts w:hint="eastAsia" w:ascii="Times New Roman" w:hAnsi="Times New Roman" w:eastAsia="仿宋_GB2312" w:cs="Times New Roman"/>
          <w:color w:val="000000"/>
          <w:kern w:val="0"/>
          <w:sz w:val="32"/>
          <w:szCs w:val="21"/>
        </w:rPr>
      </w:pPr>
      <w:r>
        <w:rPr>
          <w:rFonts w:hint="eastAsia" w:ascii="Times New Roman" w:hAnsi="Times New Roman" w:eastAsia="仿宋_GB2312" w:cs="Times New Roman"/>
          <w:color w:val="000000"/>
          <w:kern w:val="0"/>
          <w:sz w:val="32"/>
          <w:szCs w:val="21"/>
        </w:rPr>
        <w:t>本规程综合参考了湖北地标</w:t>
      </w:r>
      <w:r>
        <w:rPr>
          <w:rFonts w:hint="eastAsia" w:ascii="Times New Roman" w:hAnsi="Times New Roman" w:eastAsia="仿宋_GB2312" w:cs="Times New Roman"/>
          <w:color w:val="000000"/>
          <w:kern w:val="0"/>
          <w:sz w:val="32"/>
          <w:szCs w:val="21"/>
          <w:lang w:eastAsia="zh-CN"/>
        </w:rPr>
        <w:t>、</w:t>
      </w:r>
      <w:r>
        <w:rPr>
          <w:rFonts w:hint="eastAsia" w:ascii="Times New Roman" w:hAnsi="Times New Roman" w:eastAsia="仿宋_GB2312" w:cs="Times New Roman"/>
          <w:color w:val="000000"/>
          <w:kern w:val="0"/>
          <w:sz w:val="32"/>
          <w:szCs w:val="21"/>
        </w:rPr>
        <w:t>广东地标</w:t>
      </w:r>
      <w:r>
        <w:rPr>
          <w:rFonts w:hint="eastAsia" w:ascii="Times New Roman" w:hAnsi="Times New Roman" w:eastAsia="仿宋_GB2312" w:cs="Times New Roman"/>
          <w:color w:val="000000"/>
          <w:kern w:val="0"/>
          <w:sz w:val="32"/>
          <w:szCs w:val="21"/>
          <w:lang w:val="en-US" w:eastAsia="zh-CN"/>
        </w:rPr>
        <w:t>和交通运输部《公路边坡监测试点技术指南》</w:t>
      </w:r>
      <w:r>
        <w:rPr>
          <w:rFonts w:hint="eastAsia" w:ascii="Times New Roman" w:hAnsi="Times New Roman" w:eastAsia="仿宋_GB2312" w:cs="Times New Roman"/>
          <w:color w:val="000000"/>
          <w:kern w:val="0"/>
          <w:sz w:val="32"/>
          <w:szCs w:val="21"/>
        </w:rPr>
        <w:t>的规定，并结合长三角区域工程地质条件特点进行了调整。表3注中说明“土质边坡宜取较大值，岩质边坡宜取较小值”，这是基于岩质边坡脆性破坏、变形容忍度较低，土质边坡塑性变形能力相对较强的工程特性确定的。同时，本条款还规定预警值应结合有限元计算结果、当地经验值等综合确定，有限元计算参数应综合地质资料和监测结果反演确定。</w:t>
      </w:r>
    </w:p>
    <w:p w14:paraId="33FA5A3C">
      <w:pPr>
        <w:spacing w:line="360" w:lineRule="auto"/>
        <w:ind w:firstLine="640" w:firstLineChars="200"/>
        <w:rPr>
          <w:rFonts w:hint="eastAsia" w:ascii="Times New Roman" w:hAnsi="Times New Roman" w:eastAsia="仿宋_GB2312" w:cs="Times New Roman"/>
          <w:color w:val="000000"/>
          <w:kern w:val="0"/>
          <w:sz w:val="32"/>
          <w:szCs w:val="21"/>
        </w:rPr>
      </w:pPr>
      <w:r>
        <w:rPr>
          <w:rFonts w:hint="eastAsia" w:ascii="Times New Roman" w:hAnsi="Times New Roman" w:eastAsia="仿宋_GB2312" w:cs="Times New Roman"/>
          <w:color w:val="000000"/>
          <w:kern w:val="0"/>
          <w:sz w:val="32"/>
          <w:szCs w:val="21"/>
          <w:lang w:val="en-US" w:eastAsia="zh-CN"/>
        </w:rPr>
        <w:t>②</w:t>
      </w:r>
      <w:r>
        <w:rPr>
          <w:rFonts w:hint="eastAsia" w:ascii="Times New Roman" w:hAnsi="Times New Roman" w:eastAsia="仿宋_GB2312" w:cs="Times New Roman"/>
          <w:color w:val="000000"/>
          <w:kern w:val="0"/>
          <w:sz w:val="32"/>
          <w:szCs w:val="21"/>
        </w:rPr>
        <w:t>支护结构应力预警值</w:t>
      </w:r>
    </w:p>
    <w:p w14:paraId="7415082E">
      <w:pPr>
        <w:spacing w:line="360" w:lineRule="auto"/>
        <w:ind w:firstLine="640" w:firstLineChars="200"/>
        <w:rPr>
          <w:rFonts w:hint="eastAsia" w:ascii="Times New Roman" w:hAnsi="Times New Roman" w:eastAsia="仿宋_GB2312" w:cs="Times New Roman"/>
          <w:color w:val="000000"/>
          <w:kern w:val="0"/>
          <w:sz w:val="32"/>
          <w:szCs w:val="21"/>
        </w:rPr>
      </w:pPr>
      <w:r>
        <w:rPr>
          <w:rFonts w:hint="eastAsia" w:ascii="Times New Roman" w:hAnsi="Times New Roman" w:eastAsia="仿宋_GB2312" w:cs="Times New Roman"/>
          <w:color w:val="000000"/>
          <w:kern w:val="0"/>
          <w:sz w:val="32"/>
          <w:szCs w:val="21"/>
        </w:rPr>
        <w:t>条款7.4.2规定挡土墙、抗滑桩支护结构预警值为荷载设计值的60%-70%。该规定参考了湖北地标、重庆地标和广东地标均采用60%-70%设计值的规定。预应力锚杆（索）的预警值按预加力与拉力设计值的关系分两种情况设置</w:t>
      </w:r>
      <w:r>
        <w:rPr>
          <w:rFonts w:hint="eastAsia" w:ascii="Times New Roman" w:hAnsi="Times New Roman" w:eastAsia="仿宋_GB2312" w:cs="Times New Roman"/>
          <w:color w:val="000000"/>
          <w:kern w:val="0"/>
          <w:sz w:val="32"/>
          <w:szCs w:val="21"/>
          <w:lang w:eastAsia="zh-CN"/>
        </w:rPr>
        <w:t>，</w:t>
      </w:r>
      <w:r>
        <w:rPr>
          <w:rFonts w:hint="eastAsia" w:ascii="Times New Roman" w:hAnsi="Times New Roman" w:eastAsia="仿宋_GB2312" w:cs="Times New Roman"/>
          <w:color w:val="000000"/>
          <w:kern w:val="0"/>
          <w:sz w:val="32"/>
          <w:szCs w:val="21"/>
          <w:lang w:val="en-US" w:eastAsia="zh-CN"/>
        </w:rPr>
        <w:t>该规定参考了《岩土锚杆与喷射混凝土支护工程技术规范》 GB50086</w:t>
      </w:r>
      <w:r>
        <w:rPr>
          <w:rFonts w:hint="eastAsia" w:ascii="Times New Roman" w:hAnsi="Times New Roman" w:eastAsia="仿宋_GB2312" w:cs="Times New Roman"/>
          <w:color w:val="000000"/>
          <w:kern w:val="0"/>
          <w:sz w:val="32"/>
          <w:szCs w:val="21"/>
        </w:rPr>
        <w:t>。</w:t>
      </w:r>
    </w:p>
    <w:p w14:paraId="29629825">
      <w:pPr>
        <w:spacing w:line="360" w:lineRule="auto"/>
        <w:ind w:firstLine="640" w:firstLineChars="200"/>
        <w:rPr>
          <w:rFonts w:hint="eastAsia" w:ascii="Times New Roman" w:hAnsi="Times New Roman" w:eastAsia="仿宋_GB2312" w:cs="Times New Roman"/>
          <w:color w:val="000000"/>
          <w:kern w:val="0"/>
          <w:sz w:val="32"/>
          <w:szCs w:val="21"/>
        </w:rPr>
      </w:pPr>
      <w:r>
        <w:rPr>
          <w:rFonts w:hint="eastAsia" w:ascii="Times New Roman" w:hAnsi="Times New Roman" w:eastAsia="仿宋_GB2312" w:cs="Times New Roman"/>
          <w:color w:val="000000"/>
          <w:kern w:val="0"/>
          <w:sz w:val="32"/>
          <w:szCs w:val="21"/>
          <w:lang w:val="en-US" w:eastAsia="zh-CN"/>
        </w:rPr>
        <w:t>③</w:t>
      </w:r>
      <w:r>
        <w:rPr>
          <w:rFonts w:hint="eastAsia" w:ascii="Times New Roman" w:hAnsi="Times New Roman" w:eastAsia="仿宋_GB2312" w:cs="Times New Roman"/>
          <w:color w:val="000000"/>
          <w:kern w:val="0"/>
          <w:sz w:val="32"/>
          <w:szCs w:val="21"/>
        </w:rPr>
        <w:t>预警等级划分</w:t>
      </w:r>
    </w:p>
    <w:p w14:paraId="05490C17">
      <w:pPr>
        <w:spacing w:line="360" w:lineRule="auto"/>
        <w:ind w:firstLine="640" w:firstLineChars="200"/>
        <w:rPr>
          <w:rFonts w:hint="eastAsia" w:ascii="Times New Roman" w:hAnsi="Times New Roman" w:eastAsia="仿宋_GB2312" w:cs="Times New Roman"/>
          <w:color w:val="000000"/>
          <w:kern w:val="0"/>
          <w:sz w:val="32"/>
          <w:szCs w:val="21"/>
        </w:rPr>
      </w:pPr>
      <w:r>
        <w:rPr>
          <w:rFonts w:hint="eastAsia" w:ascii="Times New Roman" w:hAnsi="Times New Roman" w:eastAsia="仿宋_GB2312" w:cs="Times New Roman"/>
          <w:color w:val="000000"/>
          <w:kern w:val="0"/>
          <w:sz w:val="32"/>
          <w:szCs w:val="21"/>
        </w:rPr>
        <w:t>条款7.4.3将预警等级分为一级（黄色）、二级（橙色）和三级（红色），分别对应边坡初步变形、显著变形和存在失稳破坏风险三种状态。当前行业实践中普遍采用“阈值预警—分级推送”的闭环告警机制，国内多地在实际监测系统中采用多色分级预警体系。本规程的三级预警体系与该实践保持一致。</w:t>
      </w:r>
    </w:p>
    <w:p w14:paraId="057732F9">
      <w:pPr>
        <w:pStyle w:val="16"/>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643" w:firstLineChars="200"/>
        <w:jc w:val="left"/>
        <w:textAlignment w:val="auto"/>
        <w:outlineLvl w:val="2"/>
        <w:rPr>
          <w:rFonts w:hint="eastAsia" w:ascii="Times New Roman" w:hAnsi="Times New Roman" w:eastAsia="仿宋_GB2312" w:cstheme="minorBidi"/>
          <w:b/>
          <w:bCs/>
          <w:kern w:val="2"/>
          <w:sz w:val="32"/>
          <w:szCs w:val="32"/>
          <w:lang w:val="en-US" w:eastAsia="zh-CN" w:bidi="ar-SA"/>
        </w:rPr>
      </w:pPr>
      <w:r>
        <w:rPr>
          <w:rFonts w:hint="eastAsia" w:ascii="Times New Roman" w:hAnsi="Times New Roman" w:eastAsia="仿宋_GB2312" w:cstheme="minorBidi"/>
          <w:b/>
          <w:bCs/>
          <w:kern w:val="2"/>
          <w:sz w:val="32"/>
          <w:szCs w:val="32"/>
          <w:lang w:val="en-US" w:eastAsia="zh-CN" w:bidi="ar-SA"/>
        </w:rPr>
        <w:t>5. 第八章“系统调试及验收”的主要条款说明</w:t>
      </w:r>
    </w:p>
    <w:p w14:paraId="04F44122">
      <w:pPr>
        <w:pStyle w:val="16"/>
        <w:keepNext w:val="0"/>
        <w:keepLines w:val="0"/>
        <w:pageBreakBefore w:val="0"/>
        <w:widowControl w:val="0"/>
        <w:numPr>
          <w:ilvl w:val="0"/>
          <w:numId w:val="1"/>
        </w:numPr>
        <w:kinsoku/>
        <w:wordWrap/>
        <w:overflowPunct/>
        <w:topLinePunct w:val="0"/>
        <w:autoSpaceDE/>
        <w:autoSpaceDN/>
        <w:bidi w:val="0"/>
        <w:adjustRightInd/>
        <w:snapToGrid/>
        <w:spacing w:line="360" w:lineRule="auto"/>
        <w:ind w:left="170" w:leftChars="0" w:hanging="170" w:firstLineChars="0"/>
        <w:jc w:val="left"/>
        <w:textAlignment w:val="auto"/>
        <w:rPr>
          <w:rFonts w:hint="eastAsia" w:ascii="Times New Roman" w:hAnsi="Times New Roman" w:eastAsia="仿宋_GB2312"/>
          <w:b/>
          <w:bCs/>
          <w:sz w:val="32"/>
          <w:szCs w:val="32"/>
          <w:lang w:val="en-US" w:eastAsia="zh-CN"/>
        </w:rPr>
      </w:pPr>
      <w:r>
        <w:rPr>
          <w:rFonts w:hint="eastAsia" w:ascii="Times New Roman" w:hAnsi="Times New Roman" w:eastAsia="仿宋_GB2312"/>
          <w:b/>
          <w:bCs/>
          <w:sz w:val="32"/>
          <w:szCs w:val="32"/>
          <w:lang w:val="en-US" w:eastAsia="zh-CN"/>
        </w:rPr>
        <w:t>系统调试（条款8.1）</w:t>
      </w:r>
    </w:p>
    <w:p w14:paraId="7633E5C4">
      <w:pPr>
        <w:spacing w:line="360" w:lineRule="auto"/>
        <w:ind w:firstLine="640" w:firstLineChars="200"/>
        <w:rPr>
          <w:rFonts w:hint="eastAsia" w:ascii="Times New Roman" w:hAnsi="Times New Roman" w:eastAsia="仿宋_GB2312" w:cs="Times New Roman"/>
          <w:color w:val="000000"/>
          <w:kern w:val="0"/>
          <w:sz w:val="32"/>
          <w:szCs w:val="21"/>
        </w:rPr>
      </w:pPr>
      <w:r>
        <w:rPr>
          <w:rFonts w:hint="eastAsia" w:ascii="Times New Roman" w:hAnsi="Times New Roman" w:eastAsia="仿宋_GB2312" w:cs="Times New Roman"/>
          <w:color w:val="000000"/>
          <w:kern w:val="0"/>
          <w:sz w:val="32"/>
          <w:szCs w:val="21"/>
        </w:rPr>
        <w:t>说明： 本条款规定监测软件交付前应进行不低于30天试运行，且应覆盖至少一次有效降雨过程或一次人工触发加密采集事件。降雨是边坡变形的主要诱发因素之一，调研显示</w:t>
      </w:r>
      <w:r>
        <w:rPr>
          <w:rFonts w:hint="eastAsia" w:ascii="Times New Roman" w:hAnsi="Times New Roman" w:eastAsia="仿宋_GB2312" w:cs="Times New Roman"/>
          <w:color w:val="000000"/>
          <w:kern w:val="0"/>
          <w:sz w:val="32"/>
          <w:szCs w:val="21"/>
          <w:lang w:val="en-US" w:eastAsia="zh-CN"/>
        </w:rPr>
        <w:t>长三角</w:t>
      </w:r>
      <w:r>
        <w:rPr>
          <w:rFonts w:hint="eastAsia" w:ascii="Times New Roman" w:hAnsi="Times New Roman" w:eastAsia="仿宋_GB2312" w:cs="Times New Roman"/>
          <w:color w:val="000000"/>
          <w:kern w:val="0"/>
          <w:sz w:val="32"/>
          <w:szCs w:val="21"/>
        </w:rPr>
        <w:t>滑坡灾害与降雨强度存在显著相关性</w:t>
      </w:r>
      <w:r>
        <w:rPr>
          <w:rFonts w:hint="eastAsia" w:ascii="Times New Roman" w:hAnsi="Times New Roman" w:eastAsia="仿宋_GB2312" w:cs="Times New Roman"/>
          <w:color w:val="000000"/>
          <w:kern w:val="0"/>
          <w:sz w:val="32"/>
          <w:szCs w:val="21"/>
          <w:lang w:eastAsia="zh-CN"/>
        </w:rPr>
        <w:t>（</w:t>
      </w:r>
      <w:r>
        <w:rPr>
          <w:rFonts w:hint="eastAsia" w:ascii="Times New Roman" w:hAnsi="Times New Roman" w:eastAsia="仿宋_GB2312" w:cs="Times New Roman"/>
          <w:color w:val="000000"/>
          <w:kern w:val="0"/>
          <w:sz w:val="32"/>
          <w:szCs w:val="21"/>
          <w:lang w:val="en-US" w:eastAsia="zh-CN"/>
        </w:rPr>
        <w:t>源自</w:t>
      </w:r>
      <w:r>
        <w:rPr>
          <w:rFonts w:hint="eastAsia" w:ascii="Times New Roman" w:hAnsi="Times New Roman" w:eastAsia="仿宋_GB2312" w:cs="Times New Roman"/>
          <w:color w:val="000000"/>
          <w:kern w:val="0"/>
          <w:sz w:val="32"/>
          <w:szCs w:val="21"/>
          <w:lang w:eastAsia="zh-CN"/>
        </w:rPr>
        <w:t>长三角科技创新共同体联合攻关项目《高速公路滑坡灾害智能监测预警技术研究与示范》）</w:t>
      </w:r>
      <w:r>
        <w:rPr>
          <w:rFonts w:hint="eastAsia" w:ascii="Times New Roman" w:hAnsi="Times New Roman" w:eastAsia="仿宋_GB2312" w:cs="Times New Roman"/>
          <w:color w:val="000000"/>
          <w:kern w:val="0"/>
          <w:sz w:val="32"/>
          <w:szCs w:val="21"/>
        </w:rPr>
        <w:t>。因此试运行必须包含降雨工况验证。试运行期内应开展监测软件使用培训、功能完善、监测设备基准值校正等工作。</w:t>
      </w:r>
    </w:p>
    <w:p w14:paraId="53DE1CD3">
      <w:pPr>
        <w:pStyle w:val="16"/>
        <w:keepNext w:val="0"/>
        <w:keepLines w:val="0"/>
        <w:pageBreakBefore w:val="0"/>
        <w:widowControl w:val="0"/>
        <w:numPr>
          <w:ilvl w:val="0"/>
          <w:numId w:val="1"/>
        </w:numPr>
        <w:kinsoku/>
        <w:wordWrap/>
        <w:overflowPunct/>
        <w:topLinePunct w:val="0"/>
        <w:autoSpaceDE/>
        <w:autoSpaceDN/>
        <w:bidi w:val="0"/>
        <w:adjustRightInd/>
        <w:snapToGrid/>
        <w:spacing w:line="360" w:lineRule="auto"/>
        <w:ind w:left="170" w:leftChars="0" w:hanging="170" w:firstLineChars="0"/>
        <w:jc w:val="left"/>
        <w:textAlignment w:val="auto"/>
        <w:rPr>
          <w:rFonts w:hint="eastAsia" w:ascii="Times New Roman" w:hAnsi="Times New Roman" w:eastAsia="仿宋_GB2312"/>
          <w:b/>
          <w:bCs/>
          <w:sz w:val="32"/>
          <w:szCs w:val="32"/>
          <w:lang w:val="en-US" w:eastAsia="zh-CN"/>
        </w:rPr>
      </w:pPr>
      <w:r>
        <w:rPr>
          <w:rFonts w:hint="eastAsia" w:ascii="Times New Roman" w:hAnsi="Times New Roman" w:eastAsia="仿宋_GB2312"/>
          <w:b/>
          <w:bCs/>
          <w:sz w:val="32"/>
          <w:szCs w:val="32"/>
          <w:lang w:val="en-US" w:eastAsia="zh-CN"/>
        </w:rPr>
        <w:t>系统验收（条款8.2）</w:t>
      </w:r>
    </w:p>
    <w:p w14:paraId="6CF54B73">
      <w:pPr>
        <w:spacing w:line="360" w:lineRule="auto"/>
        <w:ind w:firstLine="640" w:firstLineChars="200"/>
        <w:rPr>
          <w:rFonts w:hint="eastAsia" w:ascii="Times New Roman" w:hAnsi="Times New Roman" w:eastAsia="仿宋_GB2312" w:cs="Times New Roman"/>
          <w:color w:val="000000"/>
          <w:kern w:val="0"/>
          <w:sz w:val="32"/>
          <w:szCs w:val="21"/>
        </w:rPr>
      </w:pPr>
      <w:r>
        <w:rPr>
          <w:rFonts w:hint="eastAsia" w:ascii="Times New Roman" w:hAnsi="Times New Roman" w:eastAsia="仿宋_GB2312" w:cs="Times New Roman"/>
          <w:color w:val="000000"/>
          <w:kern w:val="0"/>
          <w:sz w:val="32"/>
          <w:szCs w:val="21"/>
        </w:rPr>
        <w:t>说明： 本条款规定监测软件验收前应对测点数据完好率进行检查，不宜低于95%。该要求参考了</w:t>
      </w:r>
      <w:r>
        <w:rPr>
          <w:rFonts w:hint="eastAsia" w:ascii="Times New Roman" w:hAnsi="Times New Roman" w:eastAsia="仿宋_GB2312" w:cs="Times New Roman"/>
          <w:color w:val="000000"/>
          <w:kern w:val="0"/>
          <w:sz w:val="32"/>
          <w:szCs w:val="21"/>
          <w:lang w:val="en-US" w:eastAsia="zh-CN"/>
        </w:rPr>
        <w:t>桥梁监测</w:t>
      </w:r>
      <w:r>
        <w:rPr>
          <w:rFonts w:hint="eastAsia" w:ascii="Times New Roman" w:hAnsi="Times New Roman" w:eastAsia="仿宋_GB2312" w:cs="Times New Roman"/>
          <w:color w:val="000000"/>
          <w:kern w:val="0"/>
          <w:sz w:val="32"/>
          <w:szCs w:val="21"/>
        </w:rPr>
        <w:t>行业相关标准中关于监测数据完整性的规定。</w:t>
      </w:r>
    </w:p>
    <w:p w14:paraId="6119B367">
      <w:pPr>
        <w:pStyle w:val="16"/>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643" w:firstLineChars="200"/>
        <w:jc w:val="left"/>
        <w:textAlignment w:val="auto"/>
        <w:outlineLvl w:val="2"/>
        <w:rPr>
          <w:rFonts w:hint="eastAsia" w:ascii="Times New Roman" w:hAnsi="Times New Roman" w:eastAsia="仿宋_GB2312" w:cstheme="minorBidi"/>
          <w:b/>
          <w:bCs/>
          <w:kern w:val="2"/>
          <w:sz w:val="32"/>
          <w:szCs w:val="32"/>
          <w:lang w:val="en-US" w:eastAsia="zh-CN" w:bidi="ar-SA"/>
        </w:rPr>
      </w:pPr>
      <w:r>
        <w:rPr>
          <w:rFonts w:hint="eastAsia" w:ascii="Times New Roman" w:hAnsi="Times New Roman" w:eastAsia="仿宋_GB2312" w:cstheme="minorBidi"/>
          <w:b/>
          <w:bCs/>
          <w:kern w:val="2"/>
          <w:sz w:val="32"/>
          <w:szCs w:val="32"/>
          <w:lang w:val="en-US" w:eastAsia="zh-CN" w:bidi="ar-SA"/>
        </w:rPr>
        <w:t>6. 第九章“系统运维”的主要条款说明</w:t>
      </w:r>
    </w:p>
    <w:p w14:paraId="672AD6B7">
      <w:pPr>
        <w:pStyle w:val="16"/>
        <w:keepNext w:val="0"/>
        <w:keepLines w:val="0"/>
        <w:pageBreakBefore w:val="0"/>
        <w:widowControl w:val="0"/>
        <w:numPr>
          <w:ilvl w:val="0"/>
          <w:numId w:val="1"/>
        </w:numPr>
        <w:kinsoku/>
        <w:wordWrap/>
        <w:overflowPunct/>
        <w:topLinePunct w:val="0"/>
        <w:autoSpaceDE/>
        <w:autoSpaceDN/>
        <w:bidi w:val="0"/>
        <w:adjustRightInd/>
        <w:snapToGrid/>
        <w:spacing w:line="360" w:lineRule="auto"/>
        <w:ind w:left="170" w:leftChars="0" w:hanging="170" w:firstLineChars="0"/>
        <w:jc w:val="left"/>
        <w:textAlignment w:val="auto"/>
        <w:rPr>
          <w:rFonts w:hint="eastAsia" w:ascii="Times New Roman" w:hAnsi="Times New Roman" w:eastAsia="仿宋_GB2312"/>
          <w:b/>
          <w:bCs/>
          <w:sz w:val="32"/>
          <w:szCs w:val="32"/>
          <w:lang w:val="en-US" w:eastAsia="zh-CN"/>
        </w:rPr>
      </w:pPr>
      <w:r>
        <w:rPr>
          <w:rFonts w:hint="eastAsia" w:ascii="Times New Roman" w:hAnsi="Times New Roman" w:eastAsia="仿宋_GB2312"/>
          <w:b/>
          <w:bCs/>
          <w:sz w:val="32"/>
          <w:szCs w:val="32"/>
          <w:lang w:val="en-US" w:eastAsia="zh-CN"/>
        </w:rPr>
        <w:t>设备维护（条款9.2）</w:t>
      </w:r>
    </w:p>
    <w:p w14:paraId="65A6C93B">
      <w:pPr>
        <w:spacing w:line="360" w:lineRule="auto"/>
        <w:ind w:firstLine="640" w:firstLineChars="200"/>
        <w:rPr>
          <w:rFonts w:hint="eastAsia" w:ascii="Times New Roman" w:hAnsi="Times New Roman" w:eastAsia="仿宋_GB2312" w:cs="Times New Roman"/>
          <w:color w:val="000000"/>
          <w:kern w:val="0"/>
          <w:sz w:val="32"/>
          <w:szCs w:val="21"/>
        </w:rPr>
      </w:pPr>
      <w:r>
        <w:rPr>
          <w:rFonts w:hint="eastAsia" w:ascii="Times New Roman" w:hAnsi="Times New Roman" w:eastAsia="仿宋_GB2312" w:cs="Times New Roman"/>
          <w:color w:val="000000"/>
          <w:kern w:val="0"/>
          <w:sz w:val="32"/>
          <w:szCs w:val="21"/>
        </w:rPr>
        <w:t>说明： 本条款规定汛期内每月对监测点位进行巡检，非汛期每季度巡检1次。检查内容包括太阳能电池板清理、电池电量检查等。该巡检频率基于长三角区域气候特征（梅雨季节和台汛期）和监测设备运行维护的实际经验确定。系统硬件设备进行更换或维修后应做好数据衔接，对新老设备的测值关系和处理作出说明，确保监测数据的连续性。</w:t>
      </w:r>
    </w:p>
    <w:p w14:paraId="770DF9B3">
      <w:pPr>
        <w:pStyle w:val="16"/>
        <w:keepNext w:val="0"/>
        <w:keepLines w:val="0"/>
        <w:pageBreakBefore w:val="0"/>
        <w:widowControl w:val="0"/>
        <w:numPr>
          <w:ilvl w:val="0"/>
          <w:numId w:val="1"/>
        </w:numPr>
        <w:kinsoku/>
        <w:wordWrap/>
        <w:overflowPunct/>
        <w:topLinePunct w:val="0"/>
        <w:autoSpaceDE/>
        <w:autoSpaceDN/>
        <w:bidi w:val="0"/>
        <w:adjustRightInd/>
        <w:snapToGrid/>
        <w:spacing w:line="360" w:lineRule="auto"/>
        <w:ind w:left="170" w:leftChars="0" w:hanging="170" w:firstLineChars="0"/>
        <w:jc w:val="left"/>
        <w:textAlignment w:val="auto"/>
        <w:rPr>
          <w:rFonts w:hint="eastAsia" w:ascii="Times New Roman" w:hAnsi="Times New Roman" w:eastAsia="仿宋_GB2312"/>
          <w:b/>
          <w:bCs/>
          <w:sz w:val="32"/>
          <w:szCs w:val="32"/>
          <w:lang w:val="en-US" w:eastAsia="zh-CN"/>
        </w:rPr>
      </w:pPr>
      <w:r>
        <w:rPr>
          <w:rFonts w:hint="eastAsia" w:ascii="Times New Roman" w:hAnsi="Times New Roman" w:eastAsia="仿宋_GB2312"/>
          <w:b/>
          <w:bCs/>
          <w:sz w:val="32"/>
          <w:szCs w:val="32"/>
          <w:lang w:val="en-US" w:eastAsia="zh-CN"/>
        </w:rPr>
        <w:t>监测软件维护（条款9.3）</w:t>
      </w:r>
    </w:p>
    <w:p w14:paraId="564C4792">
      <w:pPr>
        <w:spacing w:line="360" w:lineRule="auto"/>
        <w:ind w:firstLine="640" w:firstLineChars="200"/>
        <w:rPr>
          <w:rFonts w:hint="eastAsia" w:ascii="Times New Roman" w:hAnsi="Times New Roman" w:eastAsia="仿宋_GB2312" w:cs="Times New Roman"/>
          <w:color w:val="000000"/>
          <w:kern w:val="0"/>
          <w:sz w:val="32"/>
          <w:szCs w:val="21"/>
        </w:rPr>
      </w:pPr>
      <w:r>
        <w:rPr>
          <w:rFonts w:hint="eastAsia" w:ascii="Times New Roman" w:hAnsi="Times New Roman" w:eastAsia="仿宋_GB2312" w:cs="Times New Roman"/>
          <w:color w:val="000000"/>
          <w:kern w:val="0"/>
          <w:sz w:val="32"/>
          <w:szCs w:val="21"/>
        </w:rPr>
        <w:t>说明： 本条款要求定期对自动化监测软件进行检查与维护，包括模块功能工作状态检查、实时数据及历史数据检查、预警数据检查确认等。同时要求定期备份数据，检查安全认证体系及接口运行状态，确保与省级平台互联互通。监测软件应具备与省级边坡监测平台互联互通的能力，这是实现区域边坡监测数据统一管理和应急联动的重要技术保障。</w:t>
      </w:r>
    </w:p>
    <w:p w14:paraId="5DE563CE">
      <w:pPr>
        <w:pStyle w:val="16"/>
        <w:keepNext w:val="0"/>
        <w:keepLines w:val="0"/>
        <w:pageBreakBefore w:val="0"/>
        <w:widowControl w:val="0"/>
        <w:numPr>
          <w:ilvl w:val="0"/>
          <w:numId w:val="1"/>
        </w:numPr>
        <w:kinsoku/>
        <w:wordWrap/>
        <w:overflowPunct/>
        <w:topLinePunct w:val="0"/>
        <w:autoSpaceDE/>
        <w:autoSpaceDN/>
        <w:bidi w:val="0"/>
        <w:adjustRightInd/>
        <w:snapToGrid/>
        <w:spacing w:line="360" w:lineRule="auto"/>
        <w:ind w:left="170" w:leftChars="0" w:hanging="170" w:firstLineChars="0"/>
        <w:jc w:val="left"/>
        <w:textAlignment w:val="auto"/>
        <w:rPr>
          <w:rFonts w:hint="eastAsia" w:ascii="Times New Roman" w:hAnsi="Times New Roman" w:eastAsia="仿宋_GB2312"/>
          <w:b/>
          <w:bCs/>
          <w:sz w:val="32"/>
          <w:szCs w:val="32"/>
          <w:lang w:val="en-US" w:eastAsia="zh-CN"/>
        </w:rPr>
      </w:pPr>
      <w:r>
        <w:rPr>
          <w:rFonts w:hint="eastAsia" w:ascii="Times New Roman" w:hAnsi="Times New Roman" w:eastAsia="仿宋_GB2312"/>
          <w:b/>
          <w:bCs/>
          <w:sz w:val="32"/>
          <w:szCs w:val="32"/>
          <w:lang w:val="en-US" w:eastAsia="zh-CN"/>
        </w:rPr>
        <w:t>成果资料（条款9.4）</w:t>
      </w:r>
    </w:p>
    <w:p w14:paraId="43D3E734">
      <w:pPr>
        <w:pStyle w:val="16"/>
        <w:keepNext w:val="0"/>
        <w:keepLines w:val="0"/>
        <w:pageBreakBefore w:val="0"/>
        <w:widowControl w:val="0"/>
        <w:kinsoku/>
        <w:wordWrap/>
        <w:overflowPunct/>
        <w:topLinePunct w:val="0"/>
        <w:autoSpaceDE/>
        <w:autoSpaceDN/>
        <w:bidi w:val="0"/>
        <w:adjustRightInd/>
        <w:snapToGrid/>
        <w:spacing w:line="360" w:lineRule="auto"/>
        <w:ind w:left="0" w:leftChars="0" w:firstLine="640" w:firstLineChars="200"/>
        <w:jc w:val="left"/>
        <w:textAlignment w:val="auto"/>
        <w:rPr>
          <w:rFonts w:hint="eastAsia" w:ascii="Times New Roman" w:hAnsi="Times New Roman" w:eastAsia="仿宋_GB2312" w:cs="Times New Roman"/>
          <w:color w:val="000000"/>
          <w:kern w:val="0"/>
          <w:sz w:val="32"/>
          <w:szCs w:val="21"/>
        </w:rPr>
      </w:pPr>
      <w:r>
        <w:rPr>
          <w:rFonts w:hint="eastAsia" w:ascii="Times New Roman" w:hAnsi="Times New Roman" w:eastAsia="仿宋_GB2312" w:cs="Times New Roman"/>
          <w:color w:val="000000"/>
          <w:kern w:val="0"/>
          <w:sz w:val="32"/>
          <w:szCs w:val="21"/>
        </w:rPr>
        <w:t>说明： 本条款将监测成果资料分为阶段报告、总结报告和专项报告三类，对各类报告应包含的内容作出了具体规定。专项报告在发生极端天气、垮塌前兆、垮塌等特殊事件时补充编制，应包括特殊事件发生前后的工程气象及周边环境概况、各监测点的变化值及速率、监测内容的判断性结论以及预警分析和建议等内容。</w:t>
      </w:r>
    </w:p>
    <w:p w14:paraId="455CB280">
      <w:pPr>
        <w:pStyle w:val="16"/>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outlineLvl w:val="1"/>
        <w:rPr>
          <w:rFonts w:hint="default" w:ascii="楷体_GB2312" w:hAnsi="楷体_GB2312" w:eastAsia="楷体_GB2312" w:cs="楷体_GB2312"/>
          <w:b/>
          <w:bCs/>
          <w:sz w:val="32"/>
          <w:szCs w:val="32"/>
          <w:lang w:val="en-US" w:eastAsia="zh-CN"/>
        </w:rPr>
      </w:pPr>
      <w:bookmarkStart w:id="10" w:name="_Toc23408"/>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三）主要验证分析</w:t>
      </w:r>
      <w:bookmarkEnd w:id="10"/>
    </w:p>
    <w:p w14:paraId="487B8957">
      <w:pPr>
        <w:pStyle w:val="16"/>
        <w:keepNext w:val="0"/>
        <w:keepLines w:val="0"/>
        <w:pageBreakBefore w:val="0"/>
        <w:widowControl w:val="0"/>
        <w:kinsoku/>
        <w:wordWrap/>
        <w:overflowPunct/>
        <w:topLinePunct w:val="0"/>
        <w:autoSpaceDE/>
        <w:autoSpaceDN/>
        <w:bidi w:val="0"/>
        <w:adjustRightInd/>
        <w:snapToGrid/>
        <w:spacing w:line="360" w:lineRule="auto"/>
        <w:ind w:left="0" w:leftChars="0" w:firstLine="640" w:firstLineChars="200"/>
        <w:jc w:val="left"/>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本规程定量、定性技术共在G0321德上高速池祁段K57高边坡、G4211宁芜高速钟山特殊土边坡、S348线K19+110~ K19+280 段灾害防治工程、甬台温改扩建台州北段项目、S204余温线临海段K207+400边坡等10余处边坡开展了验证，具体验证情况如下：</w:t>
      </w:r>
    </w:p>
    <w:p w14:paraId="0C2B48F8">
      <w:pPr>
        <w:pStyle w:val="16"/>
        <w:keepNext w:val="0"/>
        <w:keepLines w:val="0"/>
        <w:pageBreakBefore w:val="0"/>
        <w:widowControl w:val="0"/>
        <w:kinsoku/>
        <w:wordWrap/>
        <w:overflowPunct/>
        <w:topLinePunct w:val="0"/>
        <w:autoSpaceDE/>
        <w:autoSpaceDN/>
        <w:bidi w:val="0"/>
        <w:adjustRightInd/>
        <w:snapToGrid/>
        <w:spacing w:line="360" w:lineRule="auto"/>
        <w:ind w:left="0" w:leftChars="0" w:firstLine="643" w:firstLineChars="200"/>
        <w:jc w:val="left"/>
        <w:textAlignment w:val="auto"/>
        <w:outlineLvl w:val="2"/>
        <w:rPr>
          <w:rFonts w:hint="eastAsia" w:ascii="Times New Roman" w:hAnsi="Times New Roman" w:eastAsia="仿宋_GB2312"/>
          <w:b/>
          <w:bCs/>
          <w:sz w:val="32"/>
          <w:szCs w:val="32"/>
          <w:lang w:val="en-US" w:eastAsia="zh-CN"/>
        </w:rPr>
      </w:pPr>
      <w:r>
        <w:rPr>
          <w:rFonts w:hint="eastAsia" w:ascii="Times New Roman" w:hAnsi="Times New Roman" w:eastAsia="仿宋_GB2312"/>
          <w:b/>
          <w:bCs/>
          <w:sz w:val="32"/>
          <w:szCs w:val="32"/>
          <w:lang w:val="en-US" w:eastAsia="zh-CN"/>
        </w:rPr>
        <w:t>1. 定性技术要求验证情况</w:t>
      </w:r>
    </w:p>
    <w:p w14:paraId="7D12B8A7">
      <w:pPr>
        <w:pStyle w:val="16"/>
        <w:keepNext w:val="0"/>
        <w:keepLines w:val="0"/>
        <w:pageBreakBefore w:val="0"/>
        <w:widowControl w:val="0"/>
        <w:kinsoku/>
        <w:wordWrap/>
        <w:overflowPunct/>
        <w:topLinePunct w:val="0"/>
        <w:autoSpaceDE/>
        <w:autoSpaceDN/>
        <w:bidi w:val="0"/>
        <w:adjustRightInd/>
        <w:snapToGrid/>
        <w:spacing w:line="360" w:lineRule="auto"/>
        <w:ind w:left="0" w:leftChars="0"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规程中的定性要求侧重于系统构建、方案设计原则和功能实现，这在多</w:t>
      </w:r>
      <w:r>
        <w:rPr>
          <w:rFonts w:hint="eastAsia" w:ascii="Times New Roman" w:hAnsi="Times New Roman" w:eastAsia="仿宋_GB2312"/>
          <w:sz w:val="32"/>
          <w:szCs w:val="32"/>
          <w:lang w:val="en-US" w:eastAsia="zh-CN"/>
        </w:rPr>
        <w:t>个监测项目中均有验证</w:t>
      </w:r>
      <w:r>
        <w:rPr>
          <w:rFonts w:hint="eastAsia" w:ascii="Times New Roman" w:hAnsi="Times New Roman" w:eastAsia="仿宋_GB2312"/>
          <w:sz w:val="32"/>
          <w:szCs w:val="32"/>
        </w:rPr>
        <w:t>。</w:t>
      </w:r>
    </w:p>
    <w:p w14:paraId="41F6EDA2">
      <w:pPr>
        <w:pStyle w:val="16"/>
        <w:keepNext w:val="0"/>
        <w:keepLines w:val="0"/>
        <w:pageBreakBefore w:val="0"/>
        <w:widowControl w:val="0"/>
        <w:numPr>
          <w:ilvl w:val="0"/>
          <w:numId w:val="1"/>
        </w:numPr>
        <w:kinsoku/>
        <w:wordWrap/>
        <w:overflowPunct/>
        <w:topLinePunct w:val="0"/>
        <w:autoSpaceDE/>
        <w:autoSpaceDN/>
        <w:bidi w:val="0"/>
        <w:adjustRightInd/>
        <w:snapToGrid/>
        <w:spacing w:line="360" w:lineRule="auto"/>
        <w:ind w:left="170" w:leftChars="0" w:hanging="170" w:firstLineChars="0"/>
        <w:jc w:val="left"/>
        <w:textAlignment w:val="auto"/>
        <w:rPr>
          <w:rFonts w:hint="eastAsia" w:ascii="Times New Roman" w:hAnsi="Times New Roman" w:eastAsia="仿宋_GB2312"/>
          <w:b/>
          <w:bCs/>
          <w:sz w:val="32"/>
          <w:szCs w:val="32"/>
          <w:lang w:val="en-US" w:eastAsia="zh-CN"/>
        </w:rPr>
      </w:pPr>
      <w:r>
        <w:rPr>
          <w:rFonts w:hint="eastAsia" w:ascii="Times New Roman" w:hAnsi="Times New Roman" w:eastAsia="仿宋_GB2312"/>
          <w:b/>
          <w:bCs/>
          <w:sz w:val="32"/>
          <w:szCs w:val="32"/>
          <w:lang w:val="en-US" w:eastAsia="zh-CN"/>
        </w:rPr>
        <w:t>验证了“监测系统架构与功能”的完整性要求</w:t>
      </w:r>
    </w:p>
    <w:p w14:paraId="342C0C66">
      <w:pPr>
        <w:pStyle w:val="16"/>
        <w:keepNext w:val="0"/>
        <w:keepLines w:val="0"/>
        <w:pageBreakBefore w:val="0"/>
        <w:widowControl w:val="0"/>
        <w:kinsoku/>
        <w:wordWrap/>
        <w:overflowPunct/>
        <w:topLinePunct w:val="0"/>
        <w:autoSpaceDE/>
        <w:autoSpaceDN/>
        <w:bidi w:val="0"/>
        <w:adjustRightInd/>
        <w:snapToGrid/>
        <w:spacing w:line="360" w:lineRule="auto"/>
        <w:ind w:left="0" w:leftChars="0"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规程要求：监测系统应由硬件设备、监测软件和配套辅助工程组成，软件应具备数据分析、专业图形化展示、预警推送等功能。</w:t>
      </w:r>
    </w:p>
    <w:p w14:paraId="5BB9C134">
      <w:pPr>
        <w:pStyle w:val="16"/>
        <w:keepNext w:val="0"/>
        <w:keepLines w:val="0"/>
        <w:pageBreakBefore w:val="0"/>
        <w:widowControl w:val="0"/>
        <w:kinsoku/>
        <w:wordWrap/>
        <w:overflowPunct/>
        <w:topLinePunct w:val="0"/>
        <w:autoSpaceDE/>
        <w:autoSpaceDN/>
        <w:bidi w:val="0"/>
        <w:adjustRightInd/>
        <w:snapToGrid/>
        <w:spacing w:line="360" w:lineRule="auto"/>
        <w:ind w:left="0" w:leftChars="0"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工程</w:t>
      </w:r>
      <w:r>
        <w:rPr>
          <w:rFonts w:hint="eastAsia" w:ascii="Times New Roman" w:hAnsi="Times New Roman" w:eastAsia="仿宋_GB2312"/>
          <w:sz w:val="32"/>
          <w:szCs w:val="32"/>
        </w:rPr>
        <w:t>验证：G4211宁芜高速钟山特殊土边坡</w:t>
      </w:r>
      <w:r>
        <w:rPr>
          <w:rFonts w:hint="eastAsia" w:ascii="Times New Roman" w:hAnsi="Times New Roman" w:eastAsia="仿宋_GB2312"/>
          <w:sz w:val="32"/>
          <w:szCs w:val="32"/>
          <w:lang w:val="en-US" w:eastAsia="zh-CN"/>
        </w:rPr>
        <w:t>等项目监测软件均采用</w:t>
      </w:r>
      <w:r>
        <w:rPr>
          <w:rFonts w:hint="eastAsia" w:ascii="Times New Roman" w:hAnsi="Times New Roman" w:eastAsia="仿宋_GB2312"/>
          <w:sz w:val="32"/>
          <w:szCs w:val="32"/>
        </w:rPr>
        <w:t>设备层、传输层、数据层、能力层、服务层及用户层</w:t>
      </w:r>
      <w:r>
        <w:rPr>
          <w:rFonts w:hint="eastAsia" w:ascii="Times New Roman" w:hAnsi="Times New Roman" w:eastAsia="仿宋_GB2312"/>
          <w:sz w:val="32"/>
          <w:szCs w:val="32"/>
          <w:lang w:val="en-US" w:eastAsia="zh-CN"/>
        </w:rPr>
        <w:t>的架构</w:t>
      </w:r>
      <w:r>
        <w:rPr>
          <w:rFonts w:hint="eastAsia" w:ascii="Times New Roman" w:hAnsi="Times New Roman" w:eastAsia="仿宋_GB2312"/>
          <w:sz w:val="32"/>
          <w:szCs w:val="32"/>
        </w:rPr>
        <w:t>，完全符合规程对系统构成的描述，</w:t>
      </w:r>
      <w:r>
        <w:rPr>
          <w:rFonts w:hint="eastAsia" w:ascii="Times New Roman" w:hAnsi="Times New Roman" w:eastAsia="仿宋_GB2312"/>
          <w:sz w:val="32"/>
          <w:szCs w:val="32"/>
          <w:lang w:val="en-US" w:eastAsia="zh-CN"/>
        </w:rPr>
        <w:t>软件功能均</w:t>
      </w:r>
      <w:r>
        <w:rPr>
          <w:rFonts w:hint="eastAsia" w:ascii="Times New Roman" w:hAnsi="Times New Roman" w:eastAsia="仿宋_GB2312"/>
          <w:sz w:val="32"/>
          <w:szCs w:val="32"/>
        </w:rPr>
        <w:t>包括“实时数据”、“数据分析”（含时程曲线图）、“预警管理”等模块，</w:t>
      </w:r>
      <w:r>
        <w:rPr>
          <w:rFonts w:hint="eastAsia" w:ascii="Times New Roman" w:hAnsi="Times New Roman" w:eastAsia="仿宋_GB2312"/>
          <w:sz w:val="32"/>
          <w:szCs w:val="32"/>
          <w:lang w:val="en-US" w:eastAsia="zh-CN"/>
        </w:rPr>
        <w:t>实际使用过程中均有较好反馈。</w:t>
      </w:r>
    </w:p>
    <w:p w14:paraId="1F0A93C3">
      <w:pPr>
        <w:pStyle w:val="16"/>
        <w:keepNext w:val="0"/>
        <w:keepLines w:val="0"/>
        <w:pageBreakBefore w:val="0"/>
        <w:widowControl w:val="0"/>
        <w:numPr>
          <w:ilvl w:val="0"/>
          <w:numId w:val="1"/>
        </w:numPr>
        <w:kinsoku/>
        <w:wordWrap/>
        <w:overflowPunct/>
        <w:topLinePunct w:val="0"/>
        <w:autoSpaceDE/>
        <w:autoSpaceDN/>
        <w:bidi w:val="0"/>
        <w:adjustRightInd/>
        <w:snapToGrid/>
        <w:spacing w:line="360" w:lineRule="auto"/>
        <w:ind w:left="170" w:leftChars="0" w:hanging="170" w:firstLineChars="0"/>
        <w:jc w:val="left"/>
        <w:textAlignment w:val="auto"/>
        <w:rPr>
          <w:rFonts w:hint="eastAsia" w:ascii="Times New Roman" w:hAnsi="Times New Roman" w:eastAsia="仿宋_GB2312"/>
          <w:b/>
          <w:bCs/>
          <w:sz w:val="32"/>
          <w:szCs w:val="32"/>
          <w:lang w:val="en-US" w:eastAsia="zh-CN"/>
        </w:rPr>
      </w:pPr>
      <w:r>
        <w:rPr>
          <w:rFonts w:hint="eastAsia" w:ascii="Times New Roman" w:hAnsi="Times New Roman" w:eastAsia="仿宋_GB2312"/>
          <w:b/>
          <w:bCs/>
          <w:sz w:val="32"/>
          <w:szCs w:val="32"/>
          <w:lang w:val="en-US" w:eastAsia="zh-CN"/>
        </w:rPr>
        <w:t>验证了“监测内容与方法”的选配原则</w:t>
      </w:r>
    </w:p>
    <w:p w14:paraId="64EEBA41">
      <w:pPr>
        <w:pStyle w:val="16"/>
        <w:keepNext w:val="0"/>
        <w:keepLines w:val="0"/>
        <w:pageBreakBefore w:val="0"/>
        <w:widowControl w:val="0"/>
        <w:kinsoku/>
        <w:wordWrap/>
        <w:overflowPunct/>
        <w:topLinePunct w:val="0"/>
        <w:autoSpaceDE/>
        <w:autoSpaceDN/>
        <w:bidi w:val="0"/>
        <w:adjustRightInd/>
        <w:snapToGrid/>
        <w:spacing w:line="360" w:lineRule="auto"/>
        <w:ind w:left="0" w:leftChars="0"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规程要求：监测内容应分为“应测”、“宜测”、“选测”，并根据边坡类型、安全等级和破坏模式综合确定。例如，对水敏感性强的边坡，地下水监测应为“应测”。</w:t>
      </w:r>
    </w:p>
    <w:p w14:paraId="3D7FC02E">
      <w:pPr>
        <w:pStyle w:val="16"/>
        <w:keepNext w:val="0"/>
        <w:keepLines w:val="0"/>
        <w:pageBreakBefore w:val="0"/>
        <w:widowControl w:val="0"/>
        <w:kinsoku/>
        <w:wordWrap/>
        <w:overflowPunct/>
        <w:topLinePunct w:val="0"/>
        <w:autoSpaceDE/>
        <w:autoSpaceDN/>
        <w:bidi w:val="0"/>
        <w:adjustRightInd/>
        <w:snapToGrid/>
        <w:spacing w:line="360" w:lineRule="auto"/>
        <w:ind w:left="0" w:leftChars="0"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工程</w:t>
      </w:r>
      <w:r>
        <w:rPr>
          <w:rFonts w:hint="eastAsia" w:ascii="Times New Roman" w:hAnsi="Times New Roman" w:eastAsia="仿宋_GB2312"/>
          <w:sz w:val="32"/>
          <w:szCs w:val="32"/>
        </w:rPr>
        <w:t>验证：G0321德上高速池祁段K57高边坡</w:t>
      </w:r>
      <w:r>
        <w:rPr>
          <w:rFonts w:hint="eastAsia" w:ascii="Times New Roman" w:hAnsi="Times New Roman" w:eastAsia="仿宋_GB2312"/>
          <w:sz w:val="32"/>
          <w:szCs w:val="32"/>
          <w:lang w:val="en-US" w:eastAsia="zh-CN"/>
        </w:rPr>
        <w:t>等监测项目</w:t>
      </w:r>
      <w:r>
        <w:rPr>
          <w:rFonts w:hint="eastAsia" w:ascii="Times New Roman" w:hAnsi="Times New Roman" w:eastAsia="仿宋_GB2312"/>
          <w:sz w:val="32"/>
          <w:szCs w:val="32"/>
        </w:rPr>
        <w:t>实施的监测方案完整覆盖了雨量、表面位移、深部位移和锚索预应力</w:t>
      </w:r>
      <w:r>
        <w:rPr>
          <w:rFonts w:hint="eastAsia" w:ascii="Times New Roman" w:hAnsi="Times New Roman" w:eastAsia="仿宋_GB2312"/>
          <w:sz w:val="32"/>
          <w:szCs w:val="32"/>
          <w:lang w:val="en-US" w:eastAsia="zh-CN"/>
        </w:rPr>
        <w:t>等监测</w:t>
      </w:r>
      <w:r>
        <w:rPr>
          <w:rFonts w:hint="eastAsia" w:ascii="Times New Roman" w:hAnsi="Times New Roman" w:eastAsia="仿宋_GB2312"/>
          <w:sz w:val="32"/>
          <w:szCs w:val="32"/>
        </w:rPr>
        <w:t>内容，与规程的表2选用原则高度一致。</w:t>
      </w:r>
      <w:r>
        <w:rPr>
          <w:rFonts w:hint="eastAsia" w:ascii="Times New Roman" w:hAnsi="Times New Roman" w:eastAsia="仿宋_GB2312"/>
          <w:sz w:val="32"/>
          <w:szCs w:val="32"/>
          <w:lang w:val="en-US" w:eastAsia="zh-CN"/>
        </w:rPr>
        <w:t>监测方法选用了</w:t>
      </w:r>
      <w:r>
        <w:rPr>
          <w:rFonts w:hint="eastAsia" w:ascii="Times New Roman" w:hAnsi="Times New Roman" w:eastAsia="仿宋_GB2312"/>
          <w:sz w:val="32"/>
          <w:szCs w:val="32"/>
        </w:rPr>
        <w:t>GNSS、机器视觉、测斜</w:t>
      </w:r>
      <w:r>
        <w:rPr>
          <w:rFonts w:hint="eastAsia" w:ascii="Times New Roman" w:hAnsi="Times New Roman" w:eastAsia="仿宋_GB2312"/>
          <w:sz w:val="32"/>
          <w:szCs w:val="32"/>
          <w:lang w:val="en-US" w:eastAsia="zh-CN"/>
        </w:rPr>
        <w:t>仪</w:t>
      </w:r>
      <w:r>
        <w:rPr>
          <w:rFonts w:hint="eastAsia" w:ascii="Times New Roman" w:hAnsi="Times New Roman" w:eastAsia="仿宋_GB2312"/>
          <w:sz w:val="32"/>
          <w:szCs w:val="32"/>
        </w:rPr>
        <w:t>、雨量计等多种方法，</w:t>
      </w:r>
      <w:r>
        <w:rPr>
          <w:rFonts w:hint="eastAsia" w:ascii="Times New Roman" w:hAnsi="Times New Roman" w:eastAsia="仿宋_GB2312"/>
          <w:sz w:val="32"/>
          <w:szCs w:val="32"/>
          <w:lang w:val="en-US" w:eastAsia="zh-CN"/>
        </w:rPr>
        <w:t>结合多年使用效果验证了监测方法的有效性</w:t>
      </w:r>
      <w:r>
        <w:rPr>
          <w:rFonts w:hint="eastAsia" w:ascii="Times New Roman" w:hAnsi="Times New Roman" w:eastAsia="仿宋_GB2312"/>
          <w:sz w:val="32"/>
          <w:szCs w:val="32"/>
        </w:rPr>
        <w:t>。</w:t>
      </w:r>
    </w:p>
    <w:p w14:paraId="6BC4B2B6">
      <w:pPr>
        <w:pStyle w:val="16"/>
        <w:keepNext w:val="0"/>
        <w:keepLines w:val="0"/>
        <w:pageBreakBefore w:val="0"/>
        <w:widowControl w:val="0"/>
        <w:numPr>
          <w:ilvl w:val="0"/>
          <w:numId w:val="1"/>
        </w:numPr>
        <w:kinsoku/>
        <w:wordWrap/>
        <w:overflowPunct/>
        <w:topLinePunct w:val="0"/>
        <w:autoSpaceDE/>
        <w:autoSpaceDN/>
        <w:bidi w:val="0"/>
        <w:adjustRightInd/>
        <w:snapToGrid/>
        <w:spacing w:line="360" w:lineRule="auto"/>
        <w:ind w:left="170" w:leftChars="0" w:hanging="170" w:firstLineChars="0"/>
        <w:jc w:val="left"/>
        <w:textAlignment w:val="auto"/>
        <w:rPr>
          <w:rFonts w:hint="eastAsia" w:ascii="Times New Roman" w:hAnsi="Times New Roman" w:eastAsia="仿宋_GB2312"/>
          <w:b/>
          <w:bCs/>
          <w:sz w:val="32"/>
          <w:szCs w:val="32"/>
          <w:lang w:val="en-US" w:eastAsia="zh-CN"/>
        </w:rPr>
      </w:pPr>
      <w:r>
        <w:rPr>
          <w:rFonts w:hint="eastAsia" w:ascii="Times New Roman" w:hAnsi="Times New Roman" w:eastAsia="仿宋_GB2312"/>
          <w:b/>
          <w:bCs/>
          <w:sz w:val="32"/>
          <w:szCs w:val="32"/>
          <w:lang w:val="en-US" w:eastAsia="zh-CN"/>
        </w:rPr>
        <w:t>验证了“协同化感知与互补机制”的先进理念</w:t>
      </w:r>
    </w:p>
    <w:p w14:paraId="69EE2EE8">
      <w:pPr>
        <w:pStyle w:val="16"/>
        <w:keepNext w:val="0"/>
        <w:keepLines w:val="0"/>
        <w:pageBreakBefore w:val="0"/>
        <w:widowControl w:val="0"/>
        <w:kinsoku/>
        <w:wordWrap/>
        <w:overflowPunct/>
        <w:topLinePunct w:val="0"/>
        <w:autoSpaceDE/>
        <w:autoSpaceDN/>
        <w:bidi w:val="0"/>
        <w:adjustRightInd/>
        <w:snapToGrid/>
        <w:spacing w:line="360" w:lineRule="auto"/>
        <w:ind w:left="0" w:leftChars="0"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规程要求：自动化监测应与灾害风险排查、日常巡查等形成互补机制。</w:t>
      </w:r>
    </w:p>
    <w:p w14:paraId="06BF2731">
      <w:pPr>
        <w:pStyle w:val="16"/>
        <w:keepNext w:val="0"/>
        <w:keepLines w:val="0"/>
        <w:pageBreakBefore w:val="0"/>
        <w:widowControl w:val="0"/>
        <w:kinsoku/>
        <w:wordWrap/>
        <w:overflowPunct/>
        <w:topLinePunct w:val="0"/>
        <w:autoSpaceDE/>
        <w:autoSpaceDN/>
        <w:bidi w:val="0"/>
        <w:adjustRightInd/>
        <w:snapToGrid/>
        <w:spacing w:line="360" w:lineRule="auto"/>
        <w:ind w:left="0" w:leftChars="0"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工程</w:t>
      </w:r>
      <w:r>
        <w:rPr>
          <w:rFonts w:hint="eastAsia" w:ascii="Times New Roman" w:hAnsi="Times New Roman" w:eastAsia="仿宋_GB2312"/>
          <w:sz w:val="32"/>
          <w:szCs w:val="32"/>
        </w:rPr>
        <w:t>验证：G4211宁芜高速钟山特殊土边坡项目利用InSAR进行大范围风险筛查，再对重点工点进行地表实时监测，完美实现了规程要求的“互补机制”，提升了监测的广度和深度。</w:t>
      </w:r>
    </w:p>
    <w:p w14:paraId="68482BE5">
      <w:pPr>
        <w:pStyle w:val="16"/>
        <w:keepNext w:val="0"/>
        <w:keepLines w:val="0"/>
        <w:pageBreakBefore w:val="0"/>
        <w:widowControl w:val="0"/>
        <w:kinsoku/>
        <w:wordWrap/>
        <w:overflowPunct/>
        <w:topLinePunct w:val="0"/>
        <w:autoSpaceDE/>
        <w:autoSpaceDN/>
        <w:bidi w:val="0"/>
        <w:adjustRightInd/>
        <w:snapToGrid/>
        <w:spacing w:line="360" w:lineRule="auto"/>
        <w:ind w:left="0" w:leftChars="0" w:firstLine="643" w:firstLineChars="200"/>
        <w:jc w:val="left"/>
        <w:textAlignment w:val="auto"/>
        <w:outlineLvl w:val="2"/>
        <w:rPr>
          <w:rFonts w:hint="eastAsia" w:ascii="Times New Roman" w:hAnsi="Times New Roman" w:eastAsia="仿宋_GB2312"/>
          <w:b/>
          <w:bCs/>
          <w:sz w:val="32"/>
          <w:szCs w:val="32"/>
          <w:lang w:val="en-US" w:eastAsia="zh-CN"/>
        </w:rPr>
      </w:pPr>
      <w:r>
        <w:rPr>
          <w:rFonts w:hint="eastAsia" w:ascii="Times New Roman" w:hAnsi="Times New Roman" w:eastAsia="仿宋_GB2312"/>
          <w:b/>
          <w:bCs/>
          <w:sz w:val="32"/>
          <w:szCs w:val="32"/>
          <w:lang w:val="en-US" w:eastAsia="zh-CN"/>
        </w:rPr>
        <w:t>2. 定量技术要求验证情况</w:t>
      </w:r>
    </w:p>
    <w:p w14:paraId="171CC25A">
      <w:pPr>
        <w:pStyle w:val="16"/>
        <w:keepNext w:val="0"/>
        <w:keepLines w:val="0"/>
        <w:pageBreakBefore w:val="0"/>
        <w:widowControl w:val="0"/>
        <w:numPr>
          <w:ilvl w:val="0"/>
          <w:numId w:val="1"/>
        </w:numPr>
        <w:kinsoku/>
        <w:wordWrap/>
        <w:overflowPunct/>
        <w:topLinePunct w:val="0"/>
        <w:autoSpaceDE/>
        <w:autoSpaceDN/>
        <w:bidi w:val="0"/>
        <w:adjustRightInd/>
        <w:snapToGrid/>
        <w:spacing w:line="360" w:lineRule="auto"/>
        <w:ind w:left="170" w:leftChars="0" w:hanging="170" w:firstLineChars="0"/>
        <w:jc w:val="left"/>
        <w:textAlignment w:val="auto"/>
        <w:rPr>
          <w:rFonts w:hint="eastAsia" w:ascii="Times New Roman" w:hAnsi="Times New Roman" w:eastAsia="仿宋_GB2312"/>
          <w:b/>
          <w:bCs/>
          <w:sz w:val="32"/>
          <w:szCs w:val="32"/>
          <w:lang w:val="en-US" w:eastAsia="zh-CN"/>
        </w:rPr>
      </w:pPr>
      <w:r>
        <w:rPr>
          <w:rFonts w:hint="eastAsia" w:ascii="Times New Roman" w:hAnsi="Times New Roman" w:eastAsia="仿宋_GB2312"/>
          <w:b/>
          <w:bCs/>
          <w:sz w:val="32"/>
          <w:szCs w:val="32"/>
          <w:lang w:val="en-US" w:eastAsia="zh-CN"/>
        </w:rPr>
        <w:t>验证了“监测剖面与点位布设”的合理性</w:t>
      </w:r>
    </w:p>
    <w:p w14:paraId="5320DCC1">
      <w:pPr>
        <w:pStyle w:val="16"/>
        <w:keepNext w:val="0"/>
        <w:keepLines w:val="0"/>
        <w:pageBreakBefore w:val="0"/>
        <w:widowControl w:val="0"/>
        <w:kinsoku/>
        <w:wordWrap/>
        <w:overflowPunct/>
        <w:topLinePunct w:val="0"/>
        <w:autoSpaceDE/>
        <w:autoSpaceDN/>
        <w:bidi w:val="0"/>
        <w:adjustRightInd/>
        <w:snapToGrid/>
        <w:spacing w:line="360" w:lineRule="auto"/>
        <w:ind w:left="0" w:leftChars="0"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规程要求：监测剖面应以主控监测剖面为中心，间距宜为20~50m；主控监测剖面内监测点不宜少于3个，并应在地质条件不良地段加密。</w:t>
      </w:r>
    </w:p>
    <w:p w14:paraId="0D90BC2F">
      <w:pPr>
        <w:pStyle w:val="16"/>
        <w:keepNext w:val="0"/>
        <w:keepLines w:val="0"/>
        <w:pageBreakBefore w:val="0"/>
        <w:widowControl w:val="0"/>
        <w:kinsoku/>
        <w:wordWrap/>
        <w:overflowPunct/>
        <w:topLinePunct w:val="0"/>
        <w:autoSpaceDE/>
        <w:autoSpaceDN/>
        <w:bidi w:val="0"/>
        <w:adjustRightInd/>
        <w:snapToGrid/>
        <w:spacing w:line="360" w:lineRule="auto"/>
        <w:ind w:left="0" w:leftChars="0"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工程</w:t>
      </w:r>
      <w:r>
        <w:rPr>
          <w:rFonts w:hint="eastAsia" w:ascii="Times New Roman" w:hAnsi="Times New Roman" w:eastAsia="仿宋_GB2312"/>
          <w:sz w:val="32"/>
          <w:szCs w:val="32"/>
        </w:rPr>
        <w:t>验证：G0321德上高速池祁段K57高边坡通过三维有限元模拟确定的最大位移点位于K57+113.3断面，而施工期发生预警的实际断面为K57+130，两者非常吻合。这从数值分析和实测两个维度验证了“主控断面”概念的科学性。基于此，实际布设的监测方案（如K57+070、K57+098、K57+120三个主监测断面，以及二级至八级平台多排监测点）完全符合规程对于断面间距、点位数量和重点区域加密的要求</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后续成功预警也验证了点位布设的合理性</w:t>
      </w:r>
      <w:r>
        <w:rPr>
          <w:rFonts w:hint="eastAsia" w:ascii="Times New Roman" w:hAnsi="Times New Roman" w:eastAsia="仿宋_GB2312"/>
          <w:sz w:val="32"/>
          <w:szCs w:val="32"/>
        </w:rPr>
        <w:t>。</w:t>
      </w:r>
    </w:p>
    <w:p w14:paraId="1BCE8A11">
      <w:pPr>
        <w:pStyle w:val="16"/>
        <w:keepNext w:val="0"/>
        <w:keepLines w:val="0"/>
        <w:pageBreakBefore w:val="0"/>
        <w:widowControl w:val="0"/>
        <w:numPr>
          <w:ilvl w:val="0"/>
          <w:numId w:val="1"/>
        </w:numPr>
        <w:kinsoku/>
        <w:wordWrap/>
        <w:overflowPunct/>
        <w:topLinePunct w:val="0"/>
        <w:autoSpaceDE/>
        <w:autoSpaceDN/>
        <w:bidi w:val="0"/>
        <w:adjustRightInd/>
        <w:snapToGrid/>
        <w:spacing w:line="360" w:lineRule="auto"/>
        <w:ind w:left="170" w:leftChars="0" w:hanging="170" w:firstLineChars="0"/>
        <w:jc w:val="left"/>
        <w:textAlignment w:val="auto"/>
        <w:rPr>
          <w:rFonts w:hint="eastAsia" w:ascii="Times New Roman" w:hAnsi="Times New Roman" w:eastAsia="仿宋_GB2312"/>
          <w:b/>
          <w:bCs/>
          <w:sz w:val="32"/>
          <w:szCs w:val="32"/>
          <w:lang w:val="en-US" w:eastAsia="zh-CN"/>
        </w:rPr>
      </w:pPr>
      <w:r>
        <w:rPr>
          <w:rFonts w:hint="eastAsia" w:ascii="Times New Roman" w:hAnsi="Times New Roman" w:eastAsia="仿宋_GB2312"/>
          <w:b/>
          <w:bCs/>
          <w:sz w:val="32"/>
          <w:szCs w:val="32"/>
          <w:lang w:val="en-US" w:eastAsia="zh-CN"/>
        </w:rPr>
        <w:t>验证了“数据采集频率动态调整”的要求</w:t>
      </w:r>
    </w:p>
    <w:p w14:paraId="2D9B2F3B">
      <w:pPr>
        <w:pStyle w:val="16"/>
        <w:keepNext w:val="0"/>
        <w:keepLines w:val="0"/>
        <w:pageBreakBefore w:val="0"/>
        <w:widowControl w:val="0"/>
        <w:kinsoku/>
        <w:wordWrap/>
        <w:overflowPunct/>
        <w:topLinePunct w:val="0"/>
        <w:autoSpaceDE/>
        <w:autoSpaceDN/>
        <w:bidi w:val="0"/>
        <w:adjustRightInd/>
        <w:snapToGrid/>
        <w:spacing w:line="360" w:lineRule="auto"/>
        <w:ind w:left="0" w:leftChars="0"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规程要求：正常阶段采集频率宜为1次/1～24小时；当出现监测数据达到预警值、暴雨等情况时，应自动提高至1次/5～60分钟的高频加密采集模式。</w:t>
      </w:r>
    </w:p>
    <w:p w14:paraId="72FA9D6E">
      <w:pPr>
        <w:pStyle w:val="16"/>
        <w:keepNext w:val="0"/>
        <w:keepLines w:val="0"/>
        <w:pageBreakBefore w:val="0"/>
        <w:widowControl w:val="0"/>
        <w:kinsoku/>
        <w:wordWrap/>
        <w:overflowPunct/>
        <w:topLinePunct w:val="0"/>
        <w:autoSpaceDE/>
        <w:autoSpaceDN/>
        <w:bidi w:val="0"/>
        <w:adjustRightInd/>
        <w:snapToGrid/>
        <w:spacing w:line="360" w:lineRule="auto"/>
        <w:ind w:left="0" w:leftChars="0"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工程</w:t>
      </w:r>
      <w:r>
        <w:rPr>
          <w:rFonts w:hint="eastAsia" w:ascii="Times New Roman" w:hAnsi="Times New Roman" w:eastAsia="仿宋_GB2312"/>
          <w:sz w:val="32"/>
          <w:szCs w:val="32"/>
        </w:rPr>
        <w:t>验证：G4211宁芜高速钟山特殊土边坡等项目</w:t>
      </w:r>
      <w:r>
        <w:rPr>
          <w:rFonts w:hint="eastAsia" w:ascii="Times New Roman" w:hAnsi="Times New Roman" w:eastAsia="仿宋_GB2312"/>
          <w:sz w:val="32"/>
          <w:szCs w:val="32"/>
          <w:lang w:val="en-US" w:eastAsia="zh-CN"/>
        </w:rPr>
        <w:t>采用了</w:t>
      </w:r>
      <w:r>
        <w:rPr>
          <w:rFonts w:hint="eastAsia" w:ascii="Times New Roman" w:hAnsi="Times New Roman" w:eastAsia="仿宋_GB2312"/>
          <w:sz w:val="32"/>
          <w:szCs w:val="32"/>
        </w:rPr>
        <w:t>低功耗感知技术，其核心就是根据雨量和形变阈值动态调整采集频率。这直接实现了规程中“定时采集+触发采集”的混合模式要求。</w:t>
      </w:r>
      <w:r>
        <w:rPr>
          <w:rFonts w:hint="eastAsia" w:ascii="Times New Roman" w:hAnsi="Times New Roman" w:eastAsia="仿宋_GB2312"/>
          <w:sz w:val="32"/>
          <w:szCs w:val="32"/>
          <w:lang w:val="en-US" w:eastAsia="zh-CN"/>
        </w:rPr>
        <w:t>后续监测过程中在雨季通过加大监测频率密切关注</w:t>
      </w:r>
      <w:r>
        <w:rPr>
          <w:rFonts w:hint="eastAsia" w:ascii="Times New Roman" w:hAnsi="Times New Roman" w:eastAsia="仿宋_GB2312"/>
          <w:sz w:val="32"/>
          <w:szCs w:val="32"/>
        </w:rPr>
        <w:t>变形速率</w:t>
      </w:r>
      <w:r>
        <w:rPr>
          <w:rFonts w:hint="eastAsia" w:ascii="Times New Roman" w:hAnsi="Times New Roman" w:eastAsia="仿宋_GB2312"/>
          <w:sz w:val="32"/>
          <w:szCs w:val="32"/>
          <w:lang w:val="en-US" w:eastAsia="zh-CN"/>
        </w:rPr>
        <w:t>等指标变化</w:t>
      </w:r>
      <w:r>
        <w:rPr>
          <w:rFonts w:hint="eastAsia" w:ascii="Times New Roman" w:hAnsi="Times New Roman" w:eastAsia="仿宋_GB2312"/>
          <w:sz w:val="32"/>
          <w:szCs w:val="32"/>
        </w:rPr>
        <w:t>，契合了基于速率阈值触发高频采集或警情的逻辑。</w:t>
      </w:r>
    </w:p>
    <w:p w14:paraId="652F2F5A">
      <w:pPr>
        <w:pStyle w:val="16"/>
        <w:keepNext w:val="0"/>
        <w:keepLines w:val="0"/>
        <w:pageBreakBefore w:val="0"/>
        <w:widowControl w:val="0"/>
        <w:numPr>
          <w:ilvl w:val="0"/>
          <w:numId w:val="1"/>
        </w:numPr>
        <w:kinsoku/>
        <w:wordWrap/>
        <w:overflowPunct/>
        <w:topLinePunct w:val="0"/>
        <w:autoSpaceDE/>
        <w:autoSpaceDN/>
        <w:bidi w:val="0"/>
        <w:adjustRightInd/>
        <w:snapToGrid/>
        <w:spacing w:line="360" w:lineRule="auto"/>
        <w:ind w:left="170" w:leftChars="0" w:hanging="170" w:firstLineChars="0"/>
        <w:jc w:val="left"/>
        <w:textAlignment w:val="auto"/>
        <w:rPr>
          <w:rFonts w:hint="eastAsia" w:ascii="Times New Roman" w:hAnsi="Times New Roman" w:eastAsia="仿宋_GB2312"/>
          <w:b/>
          <w:bCs/>
          <w:sz w:val="32"/>
          <w:szCs w:val="32"/>
          <w:lang w:val="en-US" w:eastAsia="zh-CN"/>
        </w:rPr>
      </w:pPr>
      <w:r>
        <w:rPr>
          <w:rFonts w:hint="eastAsia" w:ascii="Times New Roman" w:hAnsi="Times New Roman" w:eastAsia="仿宋_GB2312"/>
          <w:b/>
          <w:bCs/>
          <w:sz w:val="32"/>
          <w:szCs w:val="32"/>
          <w:lang w:val="en-US" w:eastAsia="zh-CN"/>
        </w:rPr>
        <w:t>验证了“监测预警值设定与预警等级”的可行性</w:t>
      </w:r>
    </w:p>
    <w:p w14:paraId="129BF915">
      <w:pPr>
        <w:pStyle w:val="16"/>
        <w:keepNext w:val="0"/>
        <w:keepLines w:val="0"/>
        <w:pageBreakBefore w:val="0"/>
        <w:widowControl w:val="0"/>
        <w:kinsoku/>
        <w:wordWrap/>
        <w:overflowPunct/>
        <w:topLinePunct w:val="0"/>
        <w:autoSpaceDE/>
        <w:autoSpaceDN/>
        <w:bidi w:val="0"/>
        <w:adjustRightInd/>
        <w:snapToGrid/>
        <w:spacing w:line="360" w:lineRule="auto"/>
        <w:ind w:left="0" w:leftChars="0"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规程要求：预警指标应包括累积变化量和变形速率。例如，表面水平变形速率预警值为</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~6 mm/d，</w:t>
      </w:r>
      <w:r>
        <w:rPr>
          <w:rFonts w:hint="eastAsia" w:ascii="Times New Roman" w:hAnsi="Times New Roman" w:eastAsia="仿宋_GB2312"/>
          <w:sz w:val="32"/>
          <w:szCs w:val="32"/>
          <w:lang w:val="en-US" w:eastAsia="zh-CN"/>
        </w:rPr>
        <w:t>深部变形速率为2~5mm/d</w:t>
      </w:r>
      <w:r>
        <w:rPr>
          <w:rFonts w:hint="eastAsia" w:ascii="Times New Roman" w:hAnsi="Times New Roman" w:eastAsia="仿宋_GB2312"/>
          <w:sz w:val="32"/>
          <w:szCs w:val="32"/>
        </w:rPr>
        <w:t>。</w:t>
      </w:r>
    </w:p>
    <w:p w14:paraId="7276902C">
      <w:pPr>
        <w:pStyle w:val="16"/>
        <w:keepNext w:val="0"/>
        <w:keepLines w:val="0"/>
        <w:pageBreakBefore w:val="0"/>
        <w:widowControl w:val="0"/>
        <w:kinsoku/>
        <w:wordWrap/>
        <w:overflowPunct/>
        <w:topLinePunct w:val="0"/>
        <w:autoSpaceDE/>
        <w:autoSpaceDN/>
        <w:bidi w:val="0"/>
        <w:adjustRightInd/>
        <w:snapToGrid/>
        <w:spacing w:line="360" w:lineRule="auto"/>
        <w:ind w:left="0" w:leftChars="0" w:firstLine="640" w:firstLineChars="200"/>
        <w:jc w:val="left"/>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工程</w:t>
      </w:r>
      <w:r>
        <w:rPr>
          <w:rFonts w:hint="eastAsia" w:ascii="Times New Roman" w:hAnsi="Times New Roman" w:eastAsia="仿宋_GB2312"/>
          <w:sz w:val="32"/>
          <w:szCs w:val="32"/>
        </w:rPr>
        <w:t>验证：G0321德上高速池祁段K57高边坡</w:t>
      </w:r>
      <w:r>
        <w:rPr>
          <w:rFonts w:hint="eastAsia" w:ascii="Times New Roman" w:hAnsi="Times New Roman" w:eastAsia="仿宋_GB2312"/>
          <w:sz w:val="32"/>
          <w:szCs w:val="32"/>
          <w:lang w:val="en-US" w:eastAsia="zh-CN"/>
        </w:rPr>
        <w:t>在实际监测过程中，在2022年3月17日（第一次大暴雨引发安全预警）之前，边坡大桩号区域呈现轻微蠕滑变形，最大变形速率为0.07mm/d；暴雨后该处发生安全预警，深部最大变形速率为4.58mm/d，且有明显加速趋势，后及时采取反压措施。该边坡在2024年5月18日-7月9日有10个GNSS监测点出现0.1~0.6mm/d的变形，但无明显深部变形，在雨季过后变形停止。从上述经验数据来看，将变形速率的预警指标设定在当前范围总体具备参考价值。</w:t>
      </w:r>
    </w:p>
    <w:p w14:paraId="4C31326C">
      <w:pPr>
        <w:pStyle w:val="16"/>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rPr>
          <w:rFonts w:hint="eastAsia" w:ascii="Times New Roman" w:hAnsi="Times New Roman" w:eastAsia="仿宋_GB2312"/>
          <w:sz w:val="32"/>
          <w:szCs w:val="32"/>
        </w:rPr>
      </w:pPr>
      <w:r>
        <w:drawing>
          <wp:inline distT="0" distB="0" distL="0" distR="0">
            <wp:extent cx="5274310" cy="3044190"/>
            <wp:effectExtent l="0" t="0" r="2540" b="3810"/>
            <wp:docPr id="166288875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888752" name="图片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5274310" cy="3044190"/>
                    </a:xfrm>
                    <a:prstGeom prst="rect">
                      <a:avLst/>
                    </a:prstGeom>
                    <a:noFill/>
                    <a:ln>
                      <a:noFill/>
                    </a:ln>
                  </pic:spPr>
                </pic:pic>
              </a:graphicData>
            </a:graphic>
          </wp:inline>
        </w:drawing>
      </w:r>
    </w:p>
    <w:p w14:paraId="1742BA6A">
      <w:pPr>
        <w:pStyle w:val="16"/>
        <w:keepNext w:val="0"/>
        <w:keepLines w:val="0"/>
        <w:pageBreakBefore w:val="0"/>
        <w:widowControl w:val="0"/>
        <w:kinsoku/>
        <w:wordWrap/>
        <w:overflowPunct/>
        <w:topLinePunct w:val="0"/>
        <w:autoSpaceDE/>
        <w:autoSpaceDN/>
        <w:bidi w:val="0"/>
        <w:adjustRightInd/>
        <w:snapToGrid/>
        <w:spacing w:line="360" w:lineRule="auto"/>
        <w:ind w:left="0" w:leftChars="0" w:firstLine="640" w:firstLineChars="200"/>
        <w:jc w:val="left"/>
        <w:textAlignment w:val="auto"/>
        <w:rPr>
          <w:rFonts w:hint="default" w:ascii="Times New Roman" w:hAnsi="Times New Roman" w:eastAsia="仿宋_GB2312" w:cs="Times New Roman"/>
          <w:color w:val="000000"/>
          <w:kern w:val="0"/>
          <w:sz w:val="32"/>
          <w:szCs w:val="21"/>
          <w:lang w:val="en-US" w:eastAsia="zh-CN"/>
        </w:rPr>
      </w:pPr>
    </w:p>
    <w:p w14:paraId="095E6DBE">
      <w:pPr>
        <w:pStyle w:val="16"/>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left"/>
        <w:textAlignment w:val="auto"/>
        <w:outlineLvl w:val="0"/>
        <w:rPr>
          <w:rFonts w:hint="eastAsia" w:ascii="黑体" w:hAnsi="黑体" w:eastAsia="黑体" w:cs="黑体"/>
          <w:b/>
          <w:bCs/>
          <w:sz w:val="32"/>
          <w:szCs w:val="32"/>
          <w:lang w:val="en-US" w:eastAsia="zh-CN"/>
        </w:rPr>
      </w:pPr>
      <w:bookmarkStart w:id="11" w:name="_Toc7823"/>
      <w:r>
        <w:rPr>
          <w:rFonts w:hint="eastAsia" w:ascii="黑体" w:hAnsi="黑体" w:eastAsia="黑体" w:cs="黑体"/>
          <w:b/>
          <w:bCs/>
          <w:kern w:val="2"/>
          <w:sz w:val="32"/>
          <w:szCs w:val="32"/>
          <w:lang w:val="en-US" w:eastAsia="zh-CN" w:bidi="ar-SA"/>
        </w:rPr>
        <w:t>五、</w:t>
      </w:r>
      <w:r>
        <w:rPr>
          <w:rFonts w:hint="eastAsia" w:ascii="黑体" w:hAnsi="黑体" w:eastAsia="黑体" w:cs="黑体"/>
          <w:b/>
          <w:bCs/>
          <w:sz w:val="32"/>
          <w:szCs w:val="32"/>
          <w:lang w:val="en-US" w:eastAsia="zh-CN"/>
        </w:rPr>
        <w:t>重大分歧意见的处理和依据</w:t>
      </w:r>
      <w:bookmarkEnd w:id="11"/>
      <w:r>
        <w:rPr>
          <w:rFonts w:hint="eastAsia" w:ascii="黑体" w:hAnsi="黑体" w:eastAsia="黑体" w:cs="黑体"/>
          <w:b/>
          <w:bCs/>
          <w:sz w:val="32"/>
          <w:szCs w:val="32"/>
          <w:lang w:val="en-US" w:eastAsia="zh-CN"/>
        </w:rPr>
        <w:t xml:space="preserve"> </w:t>
      </w:r>
    </w:p>
    <w:p w14:paraId="604E0D96">
      <w:pPr>
        <w:spacing w:line="360" w:lineRule="auto"/>
        <w:ind w:firstLine="640" w:firstLineChars="200"/>
        <w:rPr>
          <w:rFonts w:hint="default" w:ascii="Times New Roman" w:hAnsi="Times New Roman" w:eastAsia="仿宋_GB2312" w:cs="Times New Roman"/>
          <w:color w:val="000000"/>
          <w:kern w:val="0"/>
          <w:sz w:val="32"/>
          <w:szCs w:val="21"/>
          <w:lang w:val="en-US" w:eastAsia="zh-CN"/>
        </w:rPr>
      </w:pPr>
      <w:r>
        <w:rPr>
          <w:rFonts w:hint="eastAsia" w:ascii="Times New Roman" w:hAnsi="Times New Roman" w:eastAsia="仿宋_GB2312" w:cs="Times New Roman"/>
          <w:color w:val="000000"/>
          <w:kern w:val="0"/>
          <w:sz w:val="32"/>
          <w:szCs w:val="21"/>
          <w:lang w:val="en-US" w:eastAsia="zh-CN"/>
        </w:rPr>
        <w:t>无</w:t>
      </w:r>
    </w:p>
    <w:p w14:paraId="455CEEF5">
      <w:pPr>
        <w:pStyle w:val="16"/>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left"/>
        <w:textAlignment w:val="auto"/>
        <w:outlineLvl w:val="0"/>
        <w:rPr>
          <w:rFonts w:hint="eastAsia" w:ascii="黑体" w:hAnsi="黑体" w:eastAsia="黑体" w:cs="黑体"/>
          <w:b/>
          <w:bCs/>
          <w:sz w:val="32"/>
          <w:szCs w:val="32"/>
          <w:lang w:val="en-US" w:eastAsia="zh-CN"/>
        </w:rPr>
      </w:pPr>
      <w:bookmarkStart w:id="12" w:name="_Toc21040"/>
      <w:r>
        <w:rPr>
          <w:rFonts w:hint="eastAsia" w:ascii="黑体" w:hAnsi="黑体" w:eastAsia="黑体" w:cs="黑体"/>
          <w:b/>
          <w:bCs/>
          <w:kern w:val="2"/>
          <w:sz w:val="32"/>
          <w:szCs w:val="32"/>
          <w:lang w:val="en-US" w:eastAsia="zh-CN" w:bidi="ar-SA"/>
        </w:rPr>
        <w:t>六、</w:t>
      </w:r>
      <w:r>
        <w:rPr>
          <w:rFonts w:hint="eastAsia" w:ascii="黑体" w:hAnsi="黑体" w:eastAsia="黑体" w:cs="黑体"/>
          <w:b/>
          <w:bCs/>
          <w:sz w:val="32"/>
          <w:szCs w:val="32"/>
          <w:lang w:val="en-US" w:eastAsia="zh-CN"/>
        </w:rPr>
        <w:t>与相关法律法规和标准的关系</w:t>
      </w:r>
      <w:bookmarkEnd w:id="12"/>
    </w:p>
    <w:p w14:paraId="5FF6AEE0">
      <w:pPr>
        <w:pStyle w:val="16"/>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outlineLvl w:val="1"/>
        <w:rPr>
          <w:rFonts w:hint="eastAsia" w:ascii="楷体_GB2312" w:hAnsi="楷体_GB2312" w:eastAsia="楷体_GB2312" w:cs="楷体_GB2312"/>
          <w:b/>
          <w:bCs/>
          <w:sz w:val="32"/>
          <w:szCs w:val="32"/>
          <w:lang w:val="en-US" w:eastAsia="zh-CN"/>
        </w:rPr>
      </w:pPr>
      <w:bookmarkStart w:id="13" w:name="_Toc25794"/>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一）与有关法律、法规的关系</w:t>
      </w:r>
      <w:bookmarkEnd w:id="13"/>
    </w:p>
    <w:p w14:paraId="71AC4CE8">
      <w:pPr>
        <w:pStyle w:val="16"/>
        <w:keepNext w:val="0"/>
        <w:keepLines w:val="0"/>
        <w:pageBreakBefore w:val="0"/>
        <w:widowControl w:val="0"/>
        <w:kinsoku/>
        <w:wordWrap/>
        <w:overflowPunct/>
        <w:topLinePunct w:val="0"/>
        <w:autoSpaceDE/>
        <w:autoSpaceDN/>
        <w:bidi w:val="0"/>
        <w:adjustRightInd/>
        <w:snapToGrid/>
        <w:spacing w:line="360" w:lineRule="auto"/>
        <w:ind w:left="0" w:leftChars="0" w:firstLine="640" w:firstLineChars="200"/>
        <w:jc w:val="left"/>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本标准的制定与实施，积极响应了长三角区域各省市有关公路管理、养护及安全生产的法律法规要求，是落实法规精神的技术支撑。</w:t>
      </w:r>
    </w:p>
    <w:p w14:paraId="6151F72C">
      <w:pPr>
        <w:pStyle w:val="16"/>
        <w:keepNext w:val="0"/>
        <w:keepLines w:val="0"/>
        <w:pageBreakBefore w:val="0"/>
        <w:widowControl w:val="0"/>
        <w:numPr>
          <w:ilvl w:val="0"/>
          <w:numId w:val="1"/>
        </w:numPr>
        <w:kinsoku/>
        <w:wordWrap/>
        <w:overflowPunct/>
        <w:topLinePunct w:val="0"/>
        <w:autoSpaceDE/>
        <w:autoSpaceDN/>
        <w:bidi w:val="0"/>
        <w:adjustRightInd/>
        <w:snapToGrid/>
        <w:spacing w:line="360" w:lineRule="auto"/>
        <w:ind w:left="170" w:leftChars="0" w:hanging="170" w:firstLineChars="0"/>
        <w:jc w:val="left"/>
        <w:textAlignment w:val="auto"/>
        <w:rPr>
          <w:rFonts w:hint="eastAsia" w:ascii="Times New Roman" w:hAnsi="Times New Roman" w:eastAsia="仿宋_GB2312"/>
          <w:b/>
          <w:bCs/>
          <w:sz w:val="32"/>
          <w:szCs w:val="32"/>
          <w:lang w:val="en-US" w:eastAsia="zh-CN"/>
        </w:rPr>
      </w:pPr>
      <w:r>
        <w:rPr>
          <w:rFonts w:hint="eastAsia" w:ascii="Times New Roman" w:hAnsi="Times New Roman" w:eastAsia="仿宋_GB2312"/>
          <w:b/>
          <w:bCs/>
          <w:sz w:val="32"/>
          <w:szCs w:val="32"/>
          <w:lang w:val="en-US" w:eastAsia="zh-CN"/>
        </w:rPr>
        <w:t>符合预防性养护要求：</w:t>
      </w:r>
      <w:r>
        <w:rPr>
          <w:rFonts w:hint="eastAsia" w:ascii="Times New Roman" w:hAnsi="Times New Roman" w:eastAsia="仿宋_GB2312"/>
          <w:b w:val="0"/>
          <w:bCs w:val="0"/>
          <w:sz w:val="32"/>
          <w:szCs w:val="32"/>
          <w:lang w:val="en-US" w:eastAsia="zh-CN"/>
        </w:rPr>
        <w:t>《安徽省高速公路养护管理办法（试行）》鼓励推广高边坡健康监测等技术应用；《上海市高速公路管理办法》鼓励采用新技术实施预防性、经常性养护。本标准所规定的自动化监测技术，正是对公路边坡实施动态监控、及早发现隐患的预防性养护手段，完全符合上述法规要求。</w:t>
      </w:r>
    </w:p>
    <w:p w14:paraId="572D6E62">
      <w:pPr>
        <w:pStyle w:val="16"/>
        <w:keepNext w:val="0"/>
        <w:keepLines w:val="0"/>
        <w:pageBreakBefore w:val="0"/>
        <w:widowControl w:val="0"/>
        <w:numPr>
          <w:ilvl w:val="0"/>
          <w:numId w:val="1"/>
        </w:numPr>
        <w:kinsoku/>
        <w:wordWrap/>
        <w:overflowPunct/>
        <w:topLinePunct w:val="0"/>
        <w:autoSpaceDE/>
        <w:autoSpaceDN/>
        <w:bidi w:val="0"/>
        <w:adjustRightInd/>
        <w:snapToGrid/>
        <w:spacing w:line="360" w:lineRule="auto"/>
        <w:ind w:left="170" w:leftChars="0" w:hanging="170" w:firstLineChars="0"/>
        <w:jc w:val="left"/>
        <w:textAlignment w:val="auto"/>
        <w:rPr>
          <w:rFonts w:hint="eastAsia" w:ascii="Times New Roman" w:hAnsi="Times New Roman" w:eastAsia="仿宋_GB2312"/>
          <w:b/>
          <w:bCs/>
          <w:sz w:val="32"/>
          <w:szCs w:val="32"/>
          <w:lang w:val="en-US" w:eastAsia="zh-CN"/>
        </w:rPr>
      </w:pPr>
      <w:r>
        <w:rPr>
          <w:rFonts w:hint="eastAsia" w:ascii="Times New Roman" w:hAnsi="Times New Roman" w:eastAsia="仿宋_GB2312"/>
          <w:b/>
          <w:bCs/>
          <w:sz w:val="32"/>
          <w:szCs w:val="32"/>
          <w:lang w:val="en-US" w:eastAsia="zh-CN"/>
        </w:rPr>
        <w:t>响应重点对象监管要求：</w:t>
      </w:r>
      <w:r>
        <w:rPr>
          <w:rFonts w:hint="eastAsia" w:ascii="Times New Roman" w:hAnsi="Times New Roman" w:eastAsia="仿宋_GB2312"/>
          <w:b w:val="0"/>
          <w:bCs w:val="0"/>
          <w:sz w:val="32"/>
          <w:szCs w:val="32"/>
          <w:lang w:val="en-US" w:eastAsia="zh-CN"/>
        </w:rPr>
        <w:t>《浙江省国省道公路养护管理办法（试行）》明确将边坡列为重点检查对象。本标准为边坡提供了系统化、智能化的监测技术方案，显著提升了重点对象的风险管控能力。</w:t>
      </w:r>
    </w:p>
    <w:p w14:paraId="4D13031A">
      <w:pPr>
        <w:pStyle w:val="16"/>
        <w:keepNext w:val="0"/>
        <w:keepLines w:val="0"/>
        <w:pageBreakBefore w:val="0"/>
        <w:widowControl w:val="0"/>
        <w:numPr>
          <w:ilvl w:val="0"/>
          <w:numId w:val="1"/>
        </w:numPr>
        <w:kinsoku/>
        <w:wordWrap/>
        <w:overflowPunct/>
        <w:topLinePunct w:val="0"/>
        <w:autoSpaceDE/>
        <w:autoSpaceDN/>
        <w:bidi w:val="0"/>
        <w:adjustRightInd/>
        <w:snapToGrid/>
        <w:spacing w:line="360" w:lineRule="auto"/>
        <w:ind w:left="170" w:leftChars="0" w:hanging="170" w:firstLineChars="0"/>
        <w:jc w:val="left"/>
        <w:textAlignment w:val="auto"/>
        <w:rPr>
          <w:rFonts w:hint="eastAsia" w:ascii="Times New Roman" w:hAnsi="Times New Roman" w:eastAsia="仿宋_GB2312"/>
          <w:b/>
          <w:bCs/>
          <w:sz w:val="32"/>
          <w:szCs w:val="32"/>
          <w:lang w:val="en-US" w:eastAsia="zh-CN"/>
        </w:rPr>
      </w:pPr>
      <w:r>
        <w:rPr>
          <w:rFonts w:hint="eastAsia" w:ascii="Times New Roman" w:hAnsi="Times New Roman" w:eastAsia="仿宋_GB2312"/>
          <w:b/>
          <w:bCs/>
          <w:sz w:val="32"/>
          <w:szCs w:val="32"/>
          <w:lang w:val="en-US" w:eastAsia="zh-CN"/>
        </w:rPr>
        <w:t>支撑良好技术状态保持：</w:t>
      </w:r>
      <w:r>
        <w:rPr>
          <w:rFonts w:hint="eastAsia" w:ascii="Times New Roman" w:hAnsi="Times New Roman" w:eastAsia="仿宋_GB2312"/>
          <w:b w:val="0"/>
          <w:bCs w:val="0"/>
          <w:sz w:val="32"/>
          <w:szCs w:val="32"/>
          <w:lang w:val="en-US" w:eastAsia="zh-CN"/>
        </w:rPr>
        <w:t>《江苏省公路条例》要求公路经常处于良好技术状态。通过自动化监测及时发现并预警边坡变形失稳风险，是保障路基稳定、维持公路良好技术状态的核心措施之一。</w:t>
      </w:r>
    </w:p>
    <w:p w14:paraId="0AD0DDE6">
      <w:pPr>
        <w:pStyle w:val="16"/>
        <w:keepNext w:val="0"/>
        <w:keepLines w:val="0"/>
        <w:pageBreakBefore w:val="0"/>
        <w:widowControl w:val="0"/>
        <w:kinsoku/>
        <w:wordWrap/>
        <w:overflowPunct/>
        <w:topLinePunct w:val="0"/>
        <w:autoSpaceDE/>
        <w:autoSpaceDN/>
        <w:bidi w:val="0"/>
        <w:adjustRightInd/>
        <w:snapToGrid/>
        <w:spacing w:line="360" w:lineRule="auto"/>
        <w:ind w:left="0" w:leftChars="0" w:firstLine="640" w:firstLineChars="200"/>
        <w:jc w:val="left"/>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综上，本标准是长三角区域相关公路管理法律法规在技术层面的具体落实和深化，与法规精神及要求高度协调一致。</w:t>
      </w:r>
    </w:p>
    <w:p w14:paraId="10CDD977">
      <w:pPr>
        <w:pStyle w:val="16"/>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outlineLvl w:val="1"/>
        <w:rPr>
          <w:rFonts w:hint="eastAsia" w:ascii="楷体_GB2312" w:hAnsi="楷体_GB2312" w:eastAsia="楷体_GB2312" w:cs="楷体_GB2312"/>
          <w:b/>
          <w:bCs/>
          <w:sz w:val="32"/>
          <w:szCs w:val="32"/>
          <w:lang w:val="en-US" w:eastAsia="zh-CN"/>
        </w:rPr>
      </w:pPr>
      <w:bookmarkStart w:id="14" w:name="_Toc30558"/>
      <w:r>
        <w:rPr>
          <w:rFonts w:hint="eastAsia" w:ascii="楷体_GB2312" w:hAnsi="楷体_GB2312" w:eastAsia="楷体_GB2312" w:cs="楷体_GB2312"/>
          <w:b/>
          <w:bCs/>
          <w:sz w:val="32"/>
          <w:szCs w:val="32"/>
          <w:lang w:val="en-US" w:eastAsia="zh-CN"/>
        </w:rPr>
        <w:t>（二）与相关国家标准、行业标准、地方标准的重复性、协调性分析</w:t>
      </w:r>
      <w:bookmarkEnd w:id="14"/>
    </w:p>
    <w:p w14:paraId="522D69F2">
      <w:pPr>
        <w:pStyle w:val="16"/>
        <w:keepNext w:val="0"/>
        <w:keepLines w:val="0"/>
        <w:pageBreakBefore w:val="0"/>
        <w:widowControl w:val="0"/>
        <w:numPr>
          <w:ilvl w:val="0"/>
          <w:numId w:val="1"/>
        </w:numPr>
        <w:kinsoku/>
        <w:wordWrap/>
        <w:overflowPunct/>
        <w:topLinePunct w:val="0"/>
        <w:autoSpaceDE/>
        <w:autoSpaceDN/>
        <w:bidi w:val="0"/>
        <w:adjustRightInd/>
        <w:snapToGrid/>
        <w:spacing w:line="360" w:lineRule="auto"/>
        <w:ind w:left="170" w:leftChars="0" w:hanging="170" w:firstLineChars="0"/>
        <w:jc w:val="left"/>
        <w:textAlignment w:val="auto"/>
        <w:rPr>
          <w:rFonts w:hint="default" w:ascii="Times New Roman" w:hAnsi="Times New Roman" w:eastAsia="仿宋_GB2312"/>
          <w:b/>
          <w:bCs/>
          <w:sz w:val="32"/>
          <w:szCs w:val="32"/>
          <w:lang w:val="en-US" w:eastAsia="zh-CN"/>
        </w:rPr>
      </w:pPr>
      <w:r>
        <w:rPr>
          <w:rFonts w:hint="default" w:ascii="Times New Roman" w:hAnsi="Times New Roman" w:eastAsia="仿宋_GB2312"/>
          <w:sz w:val="32"/>
          <w:szCs w:val="32"/>
          <w:lang w:val="en-US" w:eastAsia="zh-CN"/>
        </w:rPr>
        <w:t></w:t>
      </w:r>
      <w:r>
        <w:rPr>
          <w:rFonts w:hint="default" w:ascii="Times New Roman" w:hAnsi="Times New Roman" w:eastAsia="仿宋_GB2312"/>
          <w:b/>
          <w:bCs/>
          <w:sz w:val="32"/>
          <w:szCs w:val="32"/>
          <w:lang w:val="en-US" w:eastAsia="zh-CN"/>
        </w:rPr>
        <w:t>与现行国标的关系：</w:t>
      </w:r>
      <w:r>
        <w:rPr>
          <w:rFonts w:hint="default" w:ascii="Times New Roman" w:hAnsi="Times New Roman" w:eastAsia="仿宋_GB2312"/>
          <w:b w:val="0"/>
          <w:bCs w:val="0"/>
          <w:sz w:val="32"/>
          <w:szCs w:val="32"/>
          <w:lang w:val="en-US" w:eastAsia="zh-CN"/>
        </w:rPr>
        <w:t>现行国家标准如《建筑边坡工程技术规范》GB 50330-2013，在监测对象、技术背景等方面与公路边坡存在差异，且缺乏自动化监测的系统性规定。本标准针对公路边坡特点，填补了国标在自动化监测应用层面的技术空白，与国标无冲突，是国标在特定领域的延伸和补充。</w:t>
      </w:r>
    </w:p>
    <w:p w14:paraId="3875793A">
      <w:pPr>
        <w:pStyle w:val="16"/>
        <w:keepNext w:val="0"/>
        <w:keepLines w:val="0"/>
        <w:pageBreakBefore w:val="0"/>
        <w:widowControl w:val="0"/>
        <w:numPr>
          <w:ilvl w:val="0"/>
          <w:numId w:val="1"/>
        </w:numPr>
        <w:kinsoku/>
        <w:wordWrap/>
        <w:overflowPunct/>
        <w:topLinePunct w:val="0"/>
        <w:autoSpaceDE/>
        <w:autoSpaceDN/>
        <w:bidi w:val="0"/>
        <w:adjustRightInd/>
        <w:snapToGrid/>
        <w:spacing w:line="360" w:lineRule="auto"/>
        <w:ind w:left="170" w:leftChars="0" w:hanging="170" w:firstLineChars="0"/>
        <w:jc w:val="left"/>
        <w:textAlignment w:val="auto"/>
        <w:rPr>
          <w:rFonts w:hint="default" w:ascii="Times New Roman" w:hAnsi="Times New Roman" w:eastAsia="仿宋_GB2312"/>
          <w:b/>
          <w:bCs/>
          <w:sz w:val="32"/>
          <w:szCs w:val="32"/>
          <w:lang w:val="en-US" w:eastAsia="zh-CN"/>
        </w:rPr>
      </w:pPr>
      <w:r>
        <w:rPr>
          <w:rFonts w:hint="default" w:ascii="Times New Roman" w:hAnsi="Times New Roman" w:eastAsia="仿宋_GB2312"/>
          <w:b/>
          <w:bCs/>
          <w:sz w:val="32"/>
          <w:szCs w:val="32"/>
          <w:lang w:val="en-US" w:eastAsia="zh-CN"/>
        </w:rPr>
        <w:t>与现行行标的关系：</w:t>
      </w:r>
      <w:r>
        <w:rPr>
          <w:rFonts w:hint="default" w:ascii="Times New Roman" w:hAnsi="Times New Roman" w:eastAsia="仿宋_GB2312"/>
          <w:b w:val="0"/>
          <w:bCs w:val="0"/>
          <w:sz w:val="32"/>
          <w:szCs w:val="32"/>
          <w:lang w:val="en-US" w:eastAsia="zh-CN"/>
        </w:rPr>
        <w:t>现行行业标准《公路路基设计规范》JTG D30-2015等主要规定了勘察设计阶段的监测要求，未涉及运营期自动化监测的系统内容。本标准与行标共同构成覆盖公路边坡全生命周期的技术标准体系，内容相互衔接，不存在矛盾。</w:t>
      </w:r>
    </w:p>
    <w:p w14:paraId="5BCBCF73">
      <w:pPr>
        <w:pStyle w:val="16"/>
        <w:keepNext w:val="0"/>
        <w:keepLines w:val="0"/>
        <w:pageBreakBefore w:val="0"/>
        <w:widowControl w:val="0"/>
        <w:numPr>
          <w:ilvl w:val="0"/>
          <w:numId w:val="1"/>
        </w:numPr>
        <w:kinsoku/>
        <w:wordWrap/>
        <w:overflowPunct/>
        <w:topLinePunct w:val="0"/>
        <w:autoSpaceDE/>
        <w:autoSpaceDN/>
        <w:bidi w:val="0"/>
        <w:adjustRightInd/>
        <w:snapToGrid/>
        <w:spacing w:line="360" w:lineRule="auto"/>
        <w:ind w:left="170" w:leftChars="0" w:hanging="170" w:firstLineChars="0"/>
        <w:jc w:val="left"/>
        <w:textAlignment w:val="auto"/>
        <w:rPr>
          <w:rFonts w:hint="eastAsia" w:ascii="Times New Roman" w:hAnsi="Times New Roman" w:eastAsia="仿宋_GB2312"/>
          <w:b w:val="0"/>
          <w:bCs w:val="0"/>
          <w:sz w:val="32"/>
          <w:szCs w:val="32"/>
          <w:lang w:val="en-US" w:eastAsia="zh-CN"/>
        </w:rPr>
      </w:pPr>
      <w:r>
        <w:rPr>
          <w:rFonts w:hint="default" w:ascii="Times New Roman" w:hAnsi="Times New Roman" w:eastAsia="仿宋_GB2312"/>
          <w:b/>
          <w:bCs/>
          <w:sz w:val="32"/>
          <w:szCs w:val="32"/>
          <w:lang w:val="en-US" w:eastAsia="zh-CN"/>
        </w:rPr>
        <w:t>与现行地标的关系：</w:t>
      </w:r>
      <w:r>
        <w:rPr>
          <w:rFonts w:hint="default" w:ascii="Times New Roman" w:hAnsi="Times New Roman" w:eastAsia="仿宋_GB2312"/>
          <w:b w:val="0"/>
          <w:bCs w:val="0"/>
          <w:sz w:val="32"/>
          <w:szCs w:val="32"/>
          <w:lang w:val="en-US" w:eastAsia="zh-CN"/>
        </w:rPr>
        <w:t>经查，长三角区域（上海市、江苏省、浙江省、安徽省）尚无公路边坡自动化监测方面的专门地方标准。本标准制定将填补该区域的技术标准空白。同时，与长三角区域外已发布的相关标准（如湖南省、山东省地方标准）相比，本标准在监测对象选取、系统验收、数据传输协议与存储格式、预警指标等方面进行了更全面、更深入的规定，体现了后发优势与区域特色。本标准不取代任何现有地标，而是为长三角区域边坡自动化监测提供统一、协调的技术遵循。</w:t>
      </w:r>
    </w:p>
    <w:p w14:paraId="0E3C8001">
      <w:pPr>
        <w:pStyle w:val="16"/>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left"/>
        <w:textAlignment w:val="auto"/>
        <w:outlineLvl w:val="0"/>
        <w:rPr>
          <w:rFonts w:hint="eastAsia" w:ascii="黑体" w:hAnsi="黑体" w:eastAsia="黑体" w:cs="黑体"/>
          <w:b/>
          <w:bCs/>
          <w:sz w:val="32"/>
          <w:szCs w:val="32"/>
          <w:lang w:val="en-US" w:eastAsia="zh-CN"/>
        </w:rPr>
      </w:pPr>
      <w:bookmarkStart w:id="15" w:name="_Toc10373"/>
      <w:r>
        <w:rPr>
          <w:rFonts w:hint="eastAsia" w:ascii="黑体" w:hAnsi="黑体" w:eastAsia="黑体" w:cs="黑体"/>
          <w:b/>
          <w:bCs/>
          <w:kern w:val="2"/>
          <w:sz w:val="32"/>
          <w:szCs w:val="32"/>
          <w:lang w:val="en-US" w:eastAsia="zh-CN" w:bidi="ar-SA"/>
        </w:rPr>
        <w:t>七、</w:t>
      </w:r>
      <w:r>
        <w:rPr>
          <w:rFonts w:hint="eastAsia" w:ascii="黑体" w:hAnsi="黑体" w:eastAsia="黑体" w:cs="黑体"/>
          <w:b/>
          <w:bCs/>
          <w:sz w:val="32"/>
          <w:szCs w:val="32"/>
          <w:lang w:val="en-US" w:eastAsia="zh-CN"/>
        </w:rPr>
        <w:t>推广实施建议</w:t>
      </w:r>
      <w:bookmarkEnd w:id="15"/>
    </w:p>
    <w:p w14:paraId="099C7D4D">
      <w:pPr>
        <w:pStyle w:val="16"/>
        <w:keepNext w:val="0"/>
        <w:keepLines w:val="0"/>
        <w:pageBreakBefore w:val="0"/>
        <w:widowControl w:val="0"/>
        <w:numPr>
          <w:ilvl w:val="0"/>
          <w:numId w:val="1"/>
        </w:numPr>
        <w:kinsoku/>
        <w:wordWrap/>
        <w:overflowPunct/>
        <w:topLinePunct w:val="0"/>
        <w:autoSpaceDE/>
        <w:autoSpaceDN/>
        <w:bidi w:val="0"/>
        <w:adjustRightInd/>
        <w:snapToGrid/>
        <w:spacing w:line="360" w:lineRule="auto"/>
        <w:ind w:left="170" w:leftChars="0" w:hanging="170" w:firstLineChars="0"/>
        <w:jc w:val="left"/>
        <w:textAlignment w:val="auto"/>
        <w:rPr>
          <w:rFonts w:hint="default" w:ascii="Times New Roman" w:hAnsi="Times New Roman" w:eastAsia="仿宋_GB2312"/>
          <w:b/>
          <w:bCs/>
          <w:sz w:val="32"/>
          <w:szCs w:val="32"/>
          <w:lang w:val="en-US" w:eastAsia="zh-CN"/>
        </w:rPr>
      </w:pPr>
      <w:r>
        <w:rPr>
          <w:rFonts w:hint="default" w:ascii="Times New Roman" w:hAnsi="Times New Roman" w:eastAsia="仿宋_GB2312"/>
          <w:b/>
          <w:bCs/>
          <w:sz w:val="32"/>
          <w:szCs w:val="32"/>
          <w:lang w:val="en-US" w:eastAsia="zh-CN"/>
        </w:rPr>
        <w:t>完善配套政策与监管机制</w:t>
      </w:r>
    </w:p>
    <w:p w14:paraId="7F2006F1">
      <w:pPr>
        <w:pStyle w:val="16"/>
        <w:keepNext w:val="0"/>
        <w:keepLines w:val="0"/>
        <w:pageBreakBefore w:val="0"/>
        <w:widowControl w:val="0"/>
        <w:kinsoku/>
        <w:wordWrap/>
        <w:overflowPunct/>
        <w:topLinePunct w:val="0"/>
        <w:autoSpaceDE/>
        <w:autoSpaceDN/>
        <w:bidi w:val="0"/>
        <w:adjustRightInd/>
        <w:snapToGrid/>
        <w:spacing w:line="360" w:lineRule="auto"/>
        <w:ind w:left="0" w:leftChars="0" w:firstLine="640" w:firstLineChars="200"/>
        <w:jc w:val="left"/>
        <w:textAlignment w:val="auto"/>
        <w:rPr>
          <w:rFonts w:hint="default" w:ascii="Times New Roman" w:hAnsi="Times New Roman" w:eastAsia="仿宋_GB2312"/>
          <w:sz w:val="32"/>
          <w:szCs w:val="32"/>
          <w:lang w:val="en-US" w:eastAsia="zh-CN"/>
        </w:rPr>
      </w:pPr>
      <w:r>
        <w:rPr>
          <w:rFonts w:hint="default" w:ascii="Times New Roman" w:hAnsi="Times New Roman" w:eastAsia="仿宋_GB2312"/>
          <w:sz w:val="32"/>
          <w:szCs w:val="32"/>
          <w:lang w:val="en-US" w:eastAsia="zh-CN"/>
        </w:rPr>
        <w:t>将本规程的执行情况纳入公路工程交工验收、运营期安全评估和养护考核体系。对未按规定开展自动化监测或监测系统不达标的项目，限期整改，未通过验收不得交付使用。</w:t>
      </w:r>
    </w:p>
    <w:p w14:paraId="55F7F4C0">
      <w:pPr>
        <w:pStyle w:val="16"/>
        <w:keepNext w:val="0"/>
        <w:keepLines w:val="0"/>
        <w:pageBreakBefore w:val="0"/>
        <w:widowControl w:val="0"/>
        <w:numPr>
          <w:ilvl w:val="0"/>
          <w:numId w:val="1"/>
        </w:numPr>
        <w:kinsoku/>
        <w:wordWrap/>
        <w:overflowPunct/>
        <w:topLinePunct w:val="0"/>
        <w:autoSpaceDE/>
        <w:autoSpaceDN/>
        <w:bidi w:val="0"/>
        <w:adjustRightInd/>
        <w:snapToGrid/>
        <w:spacing w:line="360" w:lineRule="auto"/>
        <w:ind w:left="170" w:leftChars="0" w:hanging="170" w:firstLineChars="0"/>
        <w:jc w:val="left"/>
        <w:textAlignment w:val="auto"/>
        <w:rPr>
          <w:rFonts w:hint="default" w:ascii="Times New Roman" w:hAnsi="Times New Roman" w:eastAsia="仿宋_GB2312"/>
          <w:b/>
          <w:bCs/>
          <w:sz w:val="32"/>
          <w:szCs w:val="32"/>
          <w:lang w:val="en-US" w:eastAsia="zh-CN"/>
        </w:rPr>
      </w:pPr>
      <w:r>
        <w:rPr>
          <w:rFonts w:hint="default" w:ascii="Times New Roman" w:hAnsi="Times New Roman" w:eastAsia="仿宋_GB2312"/>
          <w:b/>
          <w:bCs/>
          <w:sz w:val="32"/>
          <w:szCs w:val="32"/>
          <w:lang w:val="en-US" w:eastAsia="zh-CN"/>
        </w:rPr>
        <w:t>推动示范工程建设</w:t>
      </w:r>
    </w:p>
    <w:p w14:paraId="6CA52D54">
      <w:pPr>
        <w:pStyle w:val="16"/>
        <w:keepNext w:val="0"/>
        <w:keepLines w:val="0"/>
        <w:pageBreakBefore w:val="0"/>
        <w:widowControl w:val="0"/>
        <w:kinsoku/>
        <w:wordWrap/>
        <w:overflowPunct/>
        <w:topLinePunct w:val="0"/>
        <w:autoSpaceDE/>
        <w:autoSpaceDN/>
        <w:bidi w:val="0"/>
        <w:adjustRightInd/>
        <w:snapToGrid/>
        <w:spacing w:line="360" w:lineRule="auto"/>
        <w:ind w:left="0" w:leftChars="0" w:firstLine="640" w:firstLineChars="200"/>
        <w:jc w:val="left"/>
        <w:textAlignment w:val="auto"/>
        <w:rPr>
          <w:rFonts w:hint="default" w:ascii="Times New Roman" w:hAnsi="Times New Roman" w:eastAsia="仿宋_GB2312"/>
          <w:sz w:val="32"/>
          <w:szCs w:val="32"/>
          <w:lang w:val="en-US" w:eastAsia="zh-CN"/>
        </w:rPr>
      </w:pPr>
      <w:r>
        <w:rPr>
          <w:rFonts w:hint="default" w:ascii="Times New Roman" w:hAnsi="Times New Roman" w:eastAsia="仿宋_GB2312"/>
          <w:sz w:val="32"/>
          <w:szCs w:val="32"/>
          <w:lang w:val="en-US" w:eastAsia="zh-CN"/>
        </w:rPr>
        <w:t>在长三角区域选择典型高边坡、复杂地质条件路段开展标准应用示范工程，总结经验，形成可复制推广的样板。对示范项目给予政策或资金支持，鼓励技术创新和模式探索。</w:t>
      </w:r>
    </w:p>
    <w:p w14:paraId="5EC3FBFB">
      <w:pPr>
        <w:pStyle w:val="16"/>
        <w:keepNext w:val="0"/>
        <w:keepLines w:val="0"/>
        <w:pageBreakBefore w:val="0"/>
        <w:widowControl w:val="0"/>
        <w:numPr>
          <w:ilvl w:val="0"/>
          <w:numId w:val="1"/>
        </w:numPr>
        <w:kinsoku/>
        <w:wordWrap/>
        <w:overflowPunct/>
        <w:topLinePunct w:val="0"/>
        <w:autoSpaceDE/>
        <w:autoSpaceDN/>
        <w:bidi w:val="0"/>
        <w:adjustRightInd/>
        <w:snapToGrid/>
        <w:spacing w:line="360" w:lineRule="auto"/>
        <w:ind w:left="170" w:leftChars="0" w:hanging="170" w:firstLineChars="0"/>
        <w:jc w:val="left"/>
        <w:textAlignment w:val="auto"/>
        <w:rPr>
          <w:rFonts w:hint="default" w:ascii="Times New Roman" w:hAnsi="Times New Roman" w:eastAsia="仿宋_GB2312"/>
          <w:b/>
          <w:bCs/>
          <w:sz w:val="32"/>
          <w:szCs w:val="32"/>
          <w:lang w:val="en-US" w:eastAsia="zh-CN"/>
        </w:rPr>
      </w:pPr>
      <w:r>
        <w:rPr>
          <w:rFonts w:hint="default" w:ascii="Times New Roman" w:hAnsi="Times New Roman" w:eastAsia="仿宋_GB2312"/>
          <w:b/>
          <w:bCs/>
          <w:sz w:val="32"/>
          <w:szCs w:val="32"/>
          <w:lang w:val="en-US" w:eastAsia="zh-CN"/>
        </w:rPr>
        <w:t>强化运维管理及责任落实</w:t>
      </w:r>
    </w:p>
    <w:p w14:paraId="45C46ABE">
      <w:pPr>
        <w:pStyle w:val="16"/>
        <w:keepNext w:val="0"/>
        <w:keepLines w:val="0"/>
        <w:pageBreakBefore w:val="0"/>
        <w:widowControl w:val="0"/>
        <w:kinsoku/>
        <w:wordWrap/>
        <w:overflowPunct/>
        <w:topLinePunct w:val="0"/>
        <w:autoSpaceDE/>
        <w:autoSpaceDN/>
        <w:bidi w:val="0"/>
        <w:adjustRightInd/>
        <w:snapToGrid/>
        <w:spacing w:line="360" w:lineRule="auto"/>
        <w:ind w:left="0" w:leftChars="0" w:firstLine="640" w:firstLineChars="200"/>
        <w:jc w:val="left"/>
        <w:textAlignment w:val="auto"/>
        <w:rPr>
          <w:rFonts w:hint="default" w:ascii="Times New Roman" w:hAnsi="Times New Roman" w:eastAsia="仿宋_GB2312"/>
          <w:sz w:val="32"/>
          <w:szCs w:val="32"/>
          <w:lang w:val="en-US" w:eastAsia="zh-CN"/>
        </w:rPr>
      </w:pPr>
      <w:r>
        <w:rPr>
          <w:rFonts w:hint="default" w:ascii="Times New Roman" w:hAnsi="Times New Roman" w:eastAsia="仿宋_GB2312"/>
          <w:sz w:val="32"/>
          <w:szCs w:val="32"/>
          <w:lang w:val="en-US" w:eastAsia="zh-CN"/>
        </w:rPr>
        <w:t>明确运维责任主体，要求制定系统运维计划，配备备用备件，定期巡检。建立故障响应机制和数据异常处理流程，确保系统长期稳定运行。</w:t>
      </w:r>
    </w:p>
    <w:p w14:paraId="31D62481">
      <w:pPr>
        <w:pStyle w:val="16"/>
        <w:keepNext w:val="0"/>
        <w:keepLines w:val="0"/>
        <w:pageBreakBefore w:val="0"/>
        <w:widowControl w:val="0"/>
        <w:numPr>
          <w:ilvl w:val="0"/>
          <w:numId w:val="1"/>
        </w:numPr>
        <w:kinsoku/>
        <w:wordWrap/>
        <w:overflowPunct/>
        <w:topLinePunct w:val="0"/>
        <w:autoSpaceDE/>
        <w:autoSpaceDN/>
        <w:bidi w:val="0"/>
        <w:adjustRightInd/>
        <w:snapToGrid/>
        <w:spacing w:line="360" w:lineRule="auto"/>
        <w:ind w:left="170" w:leftChars="0" w:hanging="170" w:firstLineChars="0"/>
        <w:jc w:val="left"/>
        <w:textAlignment w:val="auto"/>
        <w:rPr>
          <w:rFonts w:hint="default" w:ascii="Times New Roman" w:hAnsi="Times New Roman" w:eastAsia="仿宋_GB2312"/>
          <w:b/>
          <w:bCs/>
          <w:sz w:val="32"/>
          <w:szCs w:val="32"/>
          <w:lang w:val="en-US" w:eastAsia="zh-CN"/>
        </w:rPr>
      </w:pPr>
      <w:r>
        <w:rPr>
          <w:rFonts w:hint="default" w:ascii="Times New Roman" w:hAnsi="Times New Roman" w:eastAsia="仿宋_GB2312"/>
          <w:b/>
          <w:bCs/>
          <w:sz w:val="32"/>
          <w:szCs w:val="32"/>
          <w:lang w:val="en-US" w:eastAsia="zh-CN"/>
        </w:rPr>
        <w:t>定期评估与标准修订</w:t>
      </w:r>
    </w:p>
    <w:p w14:paraId="0D92EC0C">
      <w:pPr>
        <w:pStyle w:val="16"/>
        <w:keepNext w:val="0"/>
        <w:keepLines w:val="0"/>
        <w:pageBreakBefore w:val="0"/>
        <w:widowControl w:val="0"/>
        <w:kinsoku/>
        <w:wordWrap/>
        <w:overflowPunct/>
        <w:topLinePunct w:val="0"/>
        <w:autoSpaceDE/>
        <w:autoSpaceDN/>
        <w:bidi w:val="0"/>
        <w:adjustRightInd/>
        <w:snapToGrid/>
        <w:spacing w:line="360" w:lineRule="auto"/>
        <w:ind w:left="0" w:leftChars="0" w:firstLine="640" w:firstLineChars="200"/>
        <w:jc w:val="left"/>
        <w:textAlignment w:val="auto"/>
        <w:rPr>
          <w:rFonts w:hint="default" w:ascii="Times New Roman" w:hAnsi="Times New Roman" w:eastAsia="仿宋_GB2312"/>
          <w:sz w:val="32"/>
          <w:szCs w:val="32"/>
          <w:lang w:val="en-US" w:eastAsia="zh-CN"/>
        </w:rPr>
      </w:pPr>
      <w:r>
        <w:rPr>
          <w:rFonts w:hint="default" w:ascii="Times New Roman" w:hAnsi="Times New Roman" w:eastAsia="仿宋_GB2312"/>
          <w:sz w:val="32"/>
          <w:szCs w:val="32"/>
          <w:lang w:val="en-US" w:eastAsia="zh-CN"/>
        </w:rPr>
        <w:t>每3~5年组织一次标准实施效果评估，收集各方反馈，结合技术进步和实际需求，适时启动标准修订工作。鼓励科研单位、企业参与后续标准研究，保持标准的先进性和适用性。</w:t>
      </w:r>
    </w:p>
    <w:p w14:paraId="1178D30A">
      <w:pPr>
        <w:pStyle w:val="16"/>
        <w:keepNext w:val="0"/>
        <w:keepLines w:val="0"/>
        <w:pageBreakBefore w:val="0"/>
        <w:widowControl w:val="0"/>
        <w:numPr>
          <w:numId w:val="0"/>
        </w:numPr>
        <w:kinsoku/>
        <w:wordWrap/>
        <w:overflowPunct/>
        <w:topLinePunct w:val="0"/>
        <w:autoSpaceDE/>
        <w:autoSpaceDN/>
        <w:bidi w:val="0"/>
        <w:adjustRightInd/>
        <w:snapToGrid/>
        <w:spacing w:line="360" w:lineRule="auto"/>
        <w:jc w:val="left"/>
        <w:textAlignment w:val="auto"/>
        <w:outlineLvl w:val="0"/>
        <w:rPr>
          <w:rFonts w:hint="default" w:ascii="黑体" w:hAnsi="黑体" w:eastAsia="黑体" w:cs="黑体"/>
          <w:b/>
          <w:bCs/>
          <w:sz w:val="32"/>
          <w:szCs w:val="32"/>
          <w:lang w:val="en-US" w:eastAsia="zh-CN"/>
        </w:rPr>
      </w:pPr>
      <w:bookmarkStart w:id="16" w:name="_Toc16972"/>
      <w:r>
        <w:rPr>
          <w:rFonts w:hint="eastAsia" w:ascii="黑体" w:hAnsi="黑体" w:eastAsia="黑体" w:cs="黑体"/>
          <w:b/>
          <w:bCs/>
          <w:sz w:val="32"/>
          <w:szCs w:val="32"/>
          <w:lang w:val="en-US" w:eastAsia="zh-CN"/>
        </w:rPr>
        <w:t>八、起草单位和起草人员信息及分工</w:t>
      </w:r>
      <w:bookmarkEnd w:id="16"/>
      <w:r>
        <w:rPr>
          <w:rFonts w:hint="eastAsia" w:ascii="黑体" w:hAnsi="黑体" w:eastAsia="黑体" w:cs="黑体"/>
          <w:b/>
          <w:bCs/>
          <w:sz w:val="32"/>
          <w:szCs w:val="32"/>
          <w:lang w:val="en-US" w:eastAsia="zh-CN"/>
        </w:rPr>
        <w:t xml:space="preserve"> </w:t>
      </w:r>
    </w:p>
    <w:p w14:paraId="03075577">
      <w:pPr>
        <w:spacing w:line="360" w:lineRule="auto"/>
        <w:ind w:firstLine="640" w:firstLineChars="200"/>
        <w:rPr>
          <w:rFonts w:hint="default" w:ascii="Times New Roman" w:hAnsi="Times New Roman" w:eastAsia="仿宋_GB2312" w:cs="Times New Roman"/>
          <w:color w:val="000000"/>
          <w:kern w:val="0"/>
          <w:sz w:val="32"/>
          <w:szCs w:val="21"/>
          <w:lang w:val="en-US" w:eastAsia="zh-CN"/>
        </w:rPr>
      </w:pPr>
      <w:r>
        <w:rPr>
          <w:rFonts w:hint="eastAsia" w:ascii="Times New Roman" w:hAnsi="Times New Roman" w:eastAsia="仿宋_GB2312" w:cs="Times New Roman"/>
          <w:color w:val="000000"/>
          <w:kern w:val="0"/>
          <w:sz w:val="32"/>
          <w:szCs w:val="21"/>
          <w:lang w:val="en-US" w:eastAsia="zh-CN"/>
        </w:rPr>
        <w:t>本标准具体分工如下表所示：</w:t>
      </w:r>
    </w:p>
    <w:p w14:paraId="78F279E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仿宋_GB2312" w:cs="黑体"/>
          <w:color w:val="000000"/>
          <w:kern w:val="0"/>
          <w:sz w:val="28"/>
          <w:szCs w:val="28"/>
          <w:lang w:val="en-US" w:eastAsia="zh-CN"/>
        </w:rPr>
      </w:pPr>
      <w:r>
        <w:rPr>
          <w:rFonts w:hint="eastAsia" w:ascii="黑体" w:hAnsi="黑体" w:eastAsia="黑体" w:cs="黑体"/>
          <w:color w:val="000000"/>
          <w:kern w:val="0"/>
          <w:sz w:val="28"/>
          <w:szCs w:val="28"/>
          <w:lang w:val="en-US" w:eastAsia="zh-CN"/>
        </w:rPr>
        <w:t>表2  《公路边坡自动化监测技术规程》全过程工作分工表</w:t>
      </w:r>
    </w:p>
    <w:tbl>
      <w:tblPr>
        <w:tblStyle w:val="11"/>
        <w:tblW w:w="91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15" w:type="dxa"/>
          <w:left w:w="15" w:type="dxa"/>
          <w:bottom w:w="15" w:type="dxa"/>
          <w:right w:w="15" w:type="dxa"/>
        </w:tblCellMar>
      </w:tblPr>
      <w:tblGrid>
        <w:gridCol w:w="712"/>
        <w:gridCol w:w="1193"/>
        <w:gridCol w:w="2063"/>
        <w:gridCol w:w="1517"/>
        <w:gridCol w:w="1380"/>
        <w:gridCol w:w="2240"/>
      </w:tblGrid>
      <w:tr w14:paraId="0BDCE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1086" w:hRule="atLeast"/>
          <w:tblHeader/>
          <w:jc w:val="center"/>
        </w:trPr>
        <w:tc>
          <w:tcPr>
            <w:tcW w:w="712" w:type="dxa"/>
            <w:shd w:val="clear" w:color="auto" w:fill="FFFFFF"/>
            <w:tcMar>
              <w:top w:w="150" w:type="dxa"/>
              <w:left w:w="0" w:type="dxa"/>
              <w:bottom w:w="150" w:type="dxa"/>
              <w:right w:w="240" w:type="dxa"/>
            </w:tcMar>
            <w:vAlign w:val="center"/>
          </w:tcPr>
          <w:p w14:paraId="5C2E413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ascii="Times New Roman" w:hAnsi="Times New Roman" w:eastAsia="仿宋_GB2312" w:cs="Segoe UI"/>
                <w:i w:val="0"/>
                <w:iCs w:val="0"/>
                <w:caps w:val="0"/>
                <w:color w:val="0F1115"/>
                <w:spacing w:val="0"/>
                <w:sz w:val="21"/>
                <w:szCs w:val="21"/>
              </w:rPr>
            </w:pPr>
            <w:r>
              <w:rPr>
                <w:rFonts w:hint="default" w:ascii="Times New Roman" w:hAnsi="Times New Roman" w:eastAsia="仿宋_GB2312" w:cs="Segoe UI"/>
                <w:i w:val="0"/>
                <w:iCs w:val="0"/>
                <w:caps w:val="0"/>
                <w:color w:val="0F1115"/>
                <w:spacing w:val="0"/>
                <w:kern w:val="0"/>
                <w:sz w:val="21"/>
                <w:szCs w:val="21"/>
                <w:lang w:val="en-US" w:eastAsia="zh-CN" w:bidi="ar"/>
              </w:rPr>
              <w:t>序号</w:t>
            </w:r>
          </w:p>
        </w:tc>
        <w:tc>
          <w:tcPr>
            <w:tcW w:w="1193" w:type="dxa"/>
            <w:shd w:val="clear" w:color="auto" w:fill="FFFFFF"/>
            <w:tcMar>
              <w:top w:w="150" w:type="dxa"/>
              <w:left w:w="240" w:type="dxa"/>
              <w:bottom w:w="150" w:type="dxa"/>
              <w:right w:w="240" w:type="dxa"/>
            </w:tcMar>
            <w:vAlign w:val="center"/>
          </w:tcPr>
          <w:p w14:paraId="1558DFF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sz w:val="21"/>
                <w:szCs w:val="21"/>
              </w:rPr>
            </w:pPr>
            <w:r>
              <w:rPr>
                <w:rFonts w:hint="default" w:ascii="Times New Roman" w:hAnsi="Times New Roman" w:eastAsia="仿宋_GB2312" w:cs="Segoe UI"/>
                <w:i w:val="0"/>
                <w:iCs w:val="0"/>
                <w:caps w:val="0"/>
                <w:color w:val="0F1115"/>
                <w:spacing w:val="0"/>
                <w:kern w:val="0"/>
                <w:sz w:val="21"/>
                <w:szCs w:val="21"/>
                <w:lang w:val="en-US" w:eastAsia="zh-CN" w:bidi="ar"/>
              </w:rPr>
              <w:t>姓名</w:t>
            </w:r>
          </w:p>
        </w:tc>
        <w:tc>
          <w:tcPr>
            <w:tcW w:w="2063" w:type="dxa"/>
            <w:shd w:val="clear" w:color="auto" w:fill="FFFFFF"/>
            <w:tcMar>
              <w:top w:w="150" w:type="dxa"/>
              <w:left w:w="240" w:type="dxa"/>
              <w:bottom w:w="150" w:type="dxa"/>
              <w:right w:w="240" w:type="dxa"/>
            </w:tcMar>
            <w:vAlign w:val="center"/>
          </w:tcPr>
          <w:p w14:paraId="155E9B1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sz w:val="21"/>
                <w:szCs w:val="21"/>
              </w:rPr>
            </w:pPr>
            <w:r>
              <w:rPr>
                <w:rFonts w:hint="default" w:ascii="Times New Roman" w:hAnsi="Times New Roman" w:eastAsia="仿宋_GB2312" w:cs="Segoe UI"/>
                <w:i w:val="0"/>
                <w:iCs w:val="0"/>
                <w:caps w:val="0"/>
                <w:color w:val="0F1115"/>
                <w:spacing w:val="0"/>
                <w:kern w:val="0"/>
                <w:sz w:val="21"/>
                <w:szCs w:val="21"/>
                <w:lang w:val="en-US" w:eastAsia="zh-CN" w:bidi="ar"/>
              </w:rPr>
              <w:t>单位</w:t>
            </w:r>
          </w:p>
        </w:tc>
        <w:tc>
          <w:tcPr>
            <w:tcW w:w="1517" w:type="dxa"/>
            <w:shd w:val="clear" w:color="auto" w:fill="FFFFFF"/>
            <w:tcMar>
              <w:top w:w="150" w:type="dxa"/>
              <w:left w:w="240" w:type="dxa"/>
              <w:bottom w:w="150" w:type="dxa"/>
              <w:right w:w="240" w:type="dxa"/>
            </w:tcMar>
            <w:vAlign w:val="center"/>
          </w:tcPr>
          <w:p w14:paraId="667BCF2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kern w:val="0"/>
                <w:sz w:val="21"/>
                <w:szCs w:val="21"/>
                <w:lang w:val="en-US" w:eastAsia="zh-CN" w:bidi="ar"/>
              </w:rPr>
            </w:pPr>
            <w:r>
              <w:rPr>
                <w:rFonts w:hint="eastAsia" w:ascii="Times New Roman" w:hAnsi="Times New Roman" w:eastAsia="仿宋_GB2312" w:cs="Segoe UI"/>
                <w:i w:val="0"/>
                <w:iCs w:val="0"/>
                <w:caps w:val="0"/>
                <w:color w:val="0F1115"/>
                <w:spacing w:val="0"/>
                <w:kern w:val="0"/>
                <w:sz w:val="21"/>
                <w:szCs w:val="21"/>
                <w:lang w:val="en-US" w:eastAsia="zh-CN" w:bidi="ar"/>
              </w:rPr>
              <w:t>专业</w:t>
            </w:r>
          </w:p>
        </w:tc>
        <w:tc>
          <w:tcPr>
            <w:tcW w:w="1380" w:type="dxa"/>
            <w:shd w:val="clear" w:color="auto" w:fill="FFFFFF"/>
            <w:tcMar>
              <w:top w:w="150" w:type="dxa"/>
              <w:left w:w="240" w:type="dxa"/>
              <w:bottom w:w="150" w:type="dxa"/>
              <w:right w:w="240" w:type="dxa"/>
            </w:tcMar>
            <w:vAlign w:val="center"/>
          </w:tcPr>
          <w:p w14:paraId="70688F5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kern w:val="0"/>
                <w:sz w:val="21"/>
                <w:szCs w:val="21"/>
                <w:lang w:val="en-US" w:eastAsia="zh-CN" w:bidi="ar"/>
              </w:rPr>
            </w:pPr>
            <w:r>
              <w:rPr>
                <w:rFonts w:hint="eastAsia" w:ascii="Times New Roman" w:hAnsi="Times New Roman" w:eastAsia="仿宋_GB2312" w:cs="Segoe UI"/>
                <w:i w:val="0"/>
                <w:iCs w:val="0"/>
                <w:caps w:val="0"/>
                <w:color w:val="0F1115"/>
                <w:spacing w:val="0"/>
                <w:kern w:val="0"/>
                <w:sz w:val="21"/>
                <w:szCs w:val="21"/>
                <w:lang w:val="en-US" w:eastAsia="zh-CN" w:bidi="ar"/>
              </w:rPr>
              <w:t>职务/职称</w:t>
            </w:r>
          </w:p>
        </w:tc>
        <w:tc>
          <w:tcPr>
            <w:tcW w:w="2240" w:type="dxa"/>
            <w:shd w:val="clear" w:color="auto" w:fill="FFFFFF"/>
            <w:tcMar>
              <w:top w:w="150" w:type="dxa"/>
              <w:left w:w="240" w:type="dxa"/>
              <w:bottom w:w="150" w:type="dxa"/>
              <w:right w:w="240" w:type="dxa"/>
            </w:tcMar>
            <w:vAlign w:val="center"/>
          </w:tcPr>
          <w:p w14:paraId="3E46C7E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sz w:val="21"/>
                <w:szCs w:val="21"/>
              </w:rPr>
            </w:pPr>
            <w:r>
              <w:rPr>
                <w:rFonts w:hint="default" w:ascii="Times New Roman" w:hAnsi="Times New Roman" w:eastAsia="仿宋_GB2312" w:cs="Segoe UI"/>
                <w:i w:val="0"/>
                <w:iCs w:val="0"/>
                <w:caps w:val="0"/>
                <w:color w:val="0F1115"/>
                <w:spacing w:val="0"/>
                <w:kern w:val="0"/>
                <w:sz w:val="21"/>
                <w:szCs w:val="21"/>
                <w:lang w:val="en-US" w:eastAsia="zh-CN" w:bidi="ar"/>
              </w:rPr>
              <w:t>主要工作职责</w:t>
            </w:r>
          </w:p>
        </w:tc>
      </w:tr>
      <w:tr w14:paraId="0F64B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1449" w:hRule="atLeast"/>
          <w:jc w:val="center"/>
        </w:trPr>
        <w:tc>
          <w:tcPr>
            <w:tcW w:w="712" w:type="dxa"/>
            <w:shd w:val="clear" w:color="auto" w:fill="FFFFFF"/>
            <w:tcMar>
              <w:top w:w="150" w:type="dxa"/>
              <w:left w:w="0" w:type="dxa"/>
              <w:bottom w:w="150" w:type="dxa"/>
              <w:right w:w="240" w:type="dxa"/>
            </w:tcMar>
            <w:vAlign w:val="center"/>
          </w:tcPr>
          <w:p w14:paraId="18C92D7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sz w:val="21"/>
                <w:szCs w:val="21"/>
              </w:rPr>
            </w:pPr>
            <w:r>
              <w:rPr>
                <w:rFonts w:hint="default" w:ascii="Times New Roman" w:hAnsi="Times New Roman" w:eastAsia="仿宋_GB2312" w:cs="Segoe UI"/>
                <w:i w:val="0"/>
                <w:iCs w:val="0"/>
                <w:caps w:val="0"/>
                <w:color w:val="0F1115"/>
                <w:spacing w:val="0"/>
                <w:kern w:val="0"/>
                <w:sz w:val="21"/>
                <w:szCs w:val="21"/>
                <w:lang w:val="en-US" w:eastAsia="zh-CN" w:bidi="ar"/>
              </w:rPr>
              <w:t>1</w:t>
            </w:r>
          </w:p>
        </w:tc>
        <w:tc>
          <w:tcPr>
            <w:tcW w:w="1193" w:type="dxa"/>
            <w:shd w:val="clear" w:color="auto" w:fill="FFFFFF"/>
            <w:tcMar>
              <w:top w:w="150" w:type="dxa"/>
              <w:left w:w="240" w:type="dxa"/>
              <w:bottom w:w="150" w:type="dxa"/>
              <w:right w:w="240" w:type="dxa"/>
            </w:tcMar>
            <w:vAlign w:val="center"/>
          </w:tcPr>
          <w:p w14:paraId="76C07F5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sz w:val="21"/>
                <w:szCs w:val="21"/>
              </w:rPr>
            </w:pPr>
            <w:r>
              <w:rPr>
                <w:rFonts w:hint="default" w:ascii="Times New Roman" w:hAnsi="Times New Roman" w:eastAsia="仿宋_GB2312" w:cs="Segoe UI"/>
                <w:i w:val="0"/>
                <w:iCs w:val="0"/>
                <w:caps w:val="0"/>
                <w:color w:val="0F1115"/>
                <w:spacing w:val="0"/>
                <w:kern w:val="0"/>
                <w:sz w:val="21"/>
                <w:szCs w:val="21"/>
                <w:lang w:val="en-US" w:eastAsia="zh-CN" w:bidi="ar"/>
              </w:rPr>
              <w:t>吴志刚</w:t>
            </w:r>
          </w:p>
        </w:tc>
        <w:tc>
          <w:tcPr>
            <w:tcW w:w="2063" w:type="dxa"/>
            <w:shd w:val="clear" w:color="auto" w:fill="FFFFFF"/>
            <w:tcMar>
              <w:top w:w="150" w:type="dxa"/>
              <w:left w:w="240" w:type="dxa"/>
              <w:bottom w:w="150" w:type="dxa"/>
              <w:right w:w="240" w:type="dxa"/>
            </w:tcMar>
            <w:vAlign w:val="center"/>
          </w:tcPr>
          <w:p w14:paraId="389B905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sz w:val="21"/>
                <w:szCs w:val="21"/>
              </w:rPr>
            </w:pPr>
            <w:r>
              <w:rPr>
                <w:rFonts w:hint="default" w:ascii="Times New Roman" w:hAnsi="Times New Roman" w:eastAsia="仿宋_GB2312" w:cs="Segoe UI"/>
                <w:i w:val="0"/>
                <w:iCs w:val="0"/>
                <w:caps w:val="0"/>
                <w:color w:val="0F1115"/>
                <w:spacing w:val="0"/>
                <w:kern w:val="0"/>
                <w:sz w:val="21"/>
                <w:szCs w:val="21"/>
                <w:lang w:val="en-US" w:eastAsia="zh-CN" w:bidi="ar"/>
              </w:rPr>
              <w:t>安徽省交通规划设计研究总院股份有限公司</w:t>
            </w:r>
          </w:p>
        </w:tc>
        <w:tc>
          <w:tcPr>
            <w:tcW w:w="1517" w:type="dxa"/>
            <w:shd w:val="clear" w:color="auto" w:fill="FFFFFF"/>
            <w:tcMar>
              <w:top w:w="150" w:type="dxa"/>
              <w:left w:w="240" w:type="dxa"/>
              <w:bottom w:w="150" w:type="dxa"/>
              <w:right w:w="240" w:type="dxa"/>
            </w:tcMar>
            <w:vAlign w:val="center"/>
          </w:tcPr>
          <w:p w14:paraId="1E88C81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kern w:val="0"/>
                <w:sz w:val="21"/>
                <w:szCs w:val="21"/>
                <w:lang w:val="en-US" w:eastAsia="zh-CN" w:bidi="ar"/>
              </w:rPr>
            </w:pPr>
            <w:r>
              <w:rPr>
                <w:rFonts w:hint="eastAsia" w:ascii="Times New Roman" w:hAnsi="Times New Roman" w:eastAsia="仿宋_GB2312" w:cs="Segoe UI"/>
                <w:i w:val="0"/>
                <w:iCs w:val="0"/>
                <w:caps w:val="0"/>
                <w:color w:val="0F1115"/>
                <w:spacing w:val="0"/>
                <w:kern w:val="0"/>
                <w:sz w:val="21"/>
                <w:szCs w:val="21"/>
                <w:lang w:val="en-US" w:eastAsia="zh-CN" w:bidi="ar"/>
              </w:rPr>
              <w:t>公路工程</w:t>
            </w:r>
          </w:p>
        </w:tc>
        <w:tc>
          <w:tcPr>
            <w:tcW w:w="1380" w:type="dxa"/>
            <w:shd w:val="clear" w:color="auto" w:fill="FFFFFF"/>
            <w:tcMar>
              <w:top w:w="150" w:type="dxa"/>
              <w:left w:w="240" w:type="dxa"/>
              <w:bottom w:w="150" w:type="dxa"/>
              <w:right w:w="240" w:type="dxa"/>
            </w:tcMar>
            <w:vAlign w:val="center"/>
          </w:tcPr>
          <w:p w14:paraId="6F6D900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kern w:val="0"/>
                <w:sz w:val="21"/>
                <w:szCs w:val="21"/>
                <w:lang w:val="en-US" w:eastAsia="zh-CN" w:bidi="ar"/>
              </w:rPr>
            </w:pPr>
            <w:r>
              <w:rPr>
                <w:rFonts w:hint="eastAsia" w:ascii="Times New Roman" w:hAnsi="Times New Roman" w:eastAsia="仿宋_GB2312" w:cs="Segoe UI"/>
                <w:i w:val="0"/>
                <w:iCs w:val="0"/>
                <w:caps w:val="0"/>
                <w:color w:val="0F1115"/>
                <w:spacing w:val="0"/>
                <w:kern w:val="0"/>
                <w:sz w:val="21"/>
                <w:szCs w:val="21"/>
                <w:lang w:val="en-US" w:eastAsia="zh-CN" w:bidi="ar"/>
              </w:rPr>
              <w:t>正高</w:t>
            </w:r>
          </w:p>
        </w:tc>
        <w:tc>
          <w:tcPr>
            <w:tcW w:w="2240" w:type="dxa"/>
            <w:shd w:val="clear" w:color="auto" w:fill="FFFFFF"/>
            <w:tcMar>
              <w:top w:w="150" w:type="dxa"/>
              <w:left w:w="240" w:type="dxa"/>
              <w:bottom w:w="150" w:type="dxa"/>
              <w:right w:w="240" w:type="dxa"/>
            </w:tcMar>
            <w:vAlign w:val="center"/>
          </w:tcPr>
          <w:p w14:paraId="11BB4C6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sz w:val="21"/>
                <w:szCs w:val="21"/>
              </w:rPr>
            </w:pPr>
            <w:r>
              <w:rPr>
                <w:rStyle w:val="14"/>
                <w:rFonts w:hint="default" w:ascii="Times New Roman" w:hAnsi="Times New Roman" w:eastAsia="仿宋_GB2312" w:cs="Segoe UI"/>
                <w:b/>
                <w:bCs/>
                <w:i w:val="0"/>
                <w:iCs w:val="0"/>
                <w:caps w:val="0"/>
                <w:color w:val="0F1115"/>
                <w:spacing w:val="0"/>
                <w:kern w:val="0"/>
                <w:sz w:val="21"/>
                <w:szCs w:val="21"/>
                <w:lang w:val="en-US" w:eastAsia="zh-CN" w:bidi="ar"/>
              </w:rPr>
              <w:t>标准大纲框架制定</w:t>
            </w:r>
            <w:r>
              <w:rPr>
                <w:rFonts w:hint="default" w:ascii="Times New Roman" w:hAnsi="Times New Roman" w:eastAsia="仿宋_GB2312" w:cs="Segoe UI"/>
                <w:i w:val="0"/>
                <w:iCs w:val="0"/>
                <w:caps w:val="0"/>
                <w:color w:val="0F1115"/>
                <w:spacing w:val="0"/>
                <w:kern w:val="0"/>
                <w:sz w:val="21"/>
                <w:szCs w:val="21"/>
                <w:lang w:val="en-US" w:eastAsia="zh-CN" w:bidi="ar"/>
              </w:rPr>
              <w:t>（牵头）；</w:t>
            </w:r>
            <w:r>
              <w:rPr>
                <w:rStyle w:val="14"/>
                <w:rFonts w:hint="default" w:ascii="Times New Roman" w:hAnsi="Times New Roman" w:eastAsia="仿宋_GB2312" w:cs="Segoe UI"/>
                <w:b/>
                <w:bCs/>
                <w:i w:val="0"/>
                <w:iCs w:val="0"/>
                <w:caps w:val="0"/>
                <w:color w:val="0F1115"/>
                <w:spacing w:val="0"/>
                <w:kern w:val="0"/>
                <w:sz w:val="21"/>
                <w:szCs w:val="21"/>
                <w:lang w:val="en-US" w:eastAsia="zh-CN" w:bidi="ar"/>
              </w:rPr>
              <w:t>总体协调</w:t>
            </w:r>
            <w:r>
              <w:rPr>
                <w:rFonts w:hint="default" w:ascii="Times New Roman" w:hAnsi="Times New Roman" w:eastAsia="仿宋_GB2312" w:cs="Segoe UI"/>
                <w:i w:val="0"/>
                <w:iCs w:val="0"/>
                <w:caps w:val="0"/>
                <w:color w:val="0F1115"/>
                <w:spacing w:val="0"/>
                <w:kern w:val="0"/>
                <w:sz w:val="21"/>
                <w:szCs w:val="21"/>
                <w:lang w:val="en-US" w:eastAsia="zh-CN" w:bidi="ar"/>
              </w:rPr>
              <w:t>；</w:t>
            </w:r>
            <w:r>
              <w:rPr>
                <w:rStyle w:val="14"/>
                <w:rFonts w:hint="default" w:ascii="Times New Roman" w:hAnsi="Times New Roman" w:eastAsia="仿宋_GB2312" w:cs="Segoe UI"/>
                <w:b/>
                <w:bCs/>
                <w:i w:val="0"/>
                <w:iCs w:val="0"/>
                <w:caps w:val="0"/>
                <w:color w:val="0F1115"/>
                <w:spacing w:val="0"/>
                <w:kern w:val="0"/>
                <w:sz w:val="21"/>
                <w:szCs w:val="21"/>
                <w:lang w:val="en-US" w:eastAsia="zh-CN" w:bidi="ar"/>
              </w:rPr>
              <w:t>标准检查</w:t>
            </w:r>
            <w:r>
              <w:rPr>
                <w:rFonts w:hint="default" w:ascii="Times New Roman" w:hAnsi="Times New Roman" w:eastAsia="仿宋_GB2312" w:cs="Segoe UI"/>
                <w:i w:val="0"/>
                <w:iCs w:val="0"/>
                <w:caps w:val="0"/>
                <w:color w:val="0F1115"/>
                <w:spacing w:val="0"/>
                <w:kern w:val="0"/>
                <w:sz w:val="21"/>
                <w:szCs w:val="21"/>
                <w:lang w:val="en-US" w:eastAsia="zh-CN" w:bidi="ar"/>
              </w:rPr>
              <w:t>（最终审查）</w:t>
            </w:r>
          </w:p>
        </w:tc>
      </w:tr>
      <w:tr w14:paraId="56FA4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1086" w:hRule="atLeast"/>
          <w:jc w:val="center"/>
        </w:trPr>
        <w:tc>
          <w:tcPr>
            <w:tcW w:w="712" w:type="dxa"/>
            <w:shd w:val="clear" w:color="auto" w:fill="FFFFFF"/>
            <w:tcMar>
              <w:top w:w="150" w:type="dxa"/>
              <w:left w:w="0" w:type="dxa"/>
              <w:bottom w:w="150" w:type="dxa"/>
              <w:right w:w="240" w:type="dxa"/>
            </w:tcMar>
            <w:vAlign w:val="center"/>
          </w:tcPr>
          <w:p w14:paraId="55F1A11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sz w:val="21"/>
                <w:szCs w:val="21"/>
              </w:rPr>
            </w:pPr>
            <w:r>
              <w:rPr>
                <w:rFonts w:hint="default" w:ascii="Times New Roman" w:hAnsi="Times New Roman" w:eastAsia="仿宋_GB2312" w:cs="Segoe UI"/>
                <w:i w:val="0"/>
                <w:iCs w:val="0"/>
                <w:caps w:val="0"/>
                <w:color w:val="0F1115"/>
                <w:spacing w:val="0"/>
                <w:kern w:val="0"/>
                <w:sz w:val="21"/>
                <w:szCs w:val="21"/>
                <w:lang w:val="en-US" w:eastAsia="zh-CN" w:bidi="ar"/>
              </w:rPr>
              <w:t>2</w:t>
            </w:r>
          </w:p>
        </w:tc>
        <w:tc>
          <w:tcPr>
            <w:tcW w:w="1193" w:type="dxa"/>
            <w:shd w:val="clear" w:color="auto" w:fill="FFFFFF"/>
            <w:tcMar>
              <w:top w:w="150" w:type="dxa"/>
              <w:left w:w="240" w:type="dxa"/>
              <w:bottom w:w="150" w:type="dxa"/>
              <w:right w:w="240" w:type="dxa"/>
            </w:tcMar>
            <w:vAlign w:val="center"/>
          </w:tcPr>
          <w:p w14:paraId="7AEDFC8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sz w:val="21"/>
                <w:szCs w:val="21"/>
              </w:rPr>
            </w:pPr>
            <w:r>
              <w:rPr>
                <w:rFonts w:hint="default" w:ascii="Times New Roman" w:hAnsi="Times New Roman" w:eastAsia="仿宋_GB2312" w:cs="Segoe UI"/>
                <w:i w:val="0"/>
                <w:iCs w:val="0"/>
                <w:caps w:val="0"/>
                <w:color w:val="0F1115"/>
                <w:spacing w:val="0"/>
                <w:kern w:val="0"/>
                <w:sz w:val="21"/>
                <w:szCs w:val="21"/>
                <w:lang w:val="en-US" w:eastAsia="zh-CN" w:bidi="ar"/>
              </w:rPr>
              <w:t>沈国栋</w:t>
            </w:r>
          </w:p>
        </w:tc>
        <w:tc>
          <w:tcPr>
            <w:tcW w:w="2063" w:type="dxa"/>
            <w:shd w:val="clear" w:color="auto" w:fill="FFFFFF"/>
            <w:tcMar>
              <w:top w:w="150" w:type="dxa"/>
              <w:left w:w="240" w:type="dxa"/>
              <w:bottom w:w="150" w:type="dxa"/>
              <w:right w:w="240" w:type="dxa"/>
            </w:tcMar>
            <w:vAlign w:val="center"/>
          </w:tcPr>
          <w:p w14:paraId="3127724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sz w:val="21"/>
                <w:szCs w:val="21"/>
              </w:rPr>
            </w:pPr>
            <w:r>
              <w:rPr>
                <w:rFonts w:hint="default" w:ascii="Times New Roman" w:hAnsi="Times New Roman" w:eastAsia="仿宋_GB2312" w:cs="Segoe UI"/>
                <w:i w:val="0"/>
                <w:iCs w:val="0"/>
                <w:caps w:val="0"/>
                <w:color w:val="0F1115"/>
                <w:spacing w:val="0"/>
                <w:kern w:val="0"/>
                <w:sz w:val="21"/>
                <w:szCs w:val="21"/>
                <w:lang w:val="en-US" w:eastAsia="zh-CN" w:bidi="ar"/>
              </w:rPr>
              <w:t>安徽省交通规划设计研究总院股份有限公司</w:t>
            </w:r>
          </w:p>
        </w:tc>
        <w:tc>
          <w:tcPr>
            <w:tcW w:w="1517" w:type="dxa"/>
            <w:shd w:val="clear" w:color="auto" w:fill="FFFFFF"/>
            <w:tcMar>
              <w:top w:w="150" w:type="dxa"/>
              <w:left w:w="240" w:type="dxa"/>
              <w:bottom w:w="150" w:type="dxa"/>
              <w:right w:w="240" w:type="dxa"/>
            </w:tcMar>
            <w:vAlign w:val="center"/>
          </w:tcPr>
          <w:p w14:paraId="43D72A3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kern w:val="0"/>
                <w:sz w:val="21"/>
                <w:szCs w:val="21"/>
                <w:lang w:val="en-US" w:eastAsia="zh-CN" w:bidi="ar"/>
              </w:rPr>
            </w:pPr>
            <w:r>
              <w:rPr>
                <w:rFonts w:hint="eastAsia" w:ascii="Times New Roman" w:hAnsi="Times New Roman" w:eastAsia="仿宋_GB2312" w:cs="Segoe UI"/>
                <w:i w:val="0"/>
                <w:iCs w:val="0"/>
                <w:caps w:val="0"/>
                <w:color w:val="0F1115"/>
                <w:spacing w:val="0"/>
                <w:kern w:val="0"/>
                <w:sz w:val="21"/>
                <w:szCs w:val="21"/>
                <w:lang w:val="en-US" w:eastAsia="zh-CN" w:bidi="ar"/>
              </w:rPr>
              <w:t>公路工程</w:t>
            </w:r>
          </w:p>
        </w:tc>
        <w:tc>
          <w:tcPr>
            <w:tcW w:w="1380" w:type="dxa"/>
            <w:shd w:val="clear" w:color="auto" w:fill="FFFFFF"/>
            <w:tcMar>
              <w:top w:w="150" w:type="dxa"/>
              <w:left w:w="240" w:type="dxa"/>
              <w:bottom w:w="150" w:type="dxa"/>
              <w:right w:w="240" w:type="dxa"/>
            </w:tcMar>
            <w:vAlign w:val="center"/>
          </w:tcPr>
          <w:p w14:paraId="67F1DF1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kern w:val="0"/>
                <w:sz w:val="21"/>
                <w:szCs w:val="21"/>
                <w:lang w:val="en-US" w:eastAsia="zh-CN" w:bidi="ar"/>
              </w:rPr>
            </w:pPr>
            <w:r>
              <w:rPr>
                <w:rFonts w:hint="eastAsia" w:ascii="Times New Roman" w:hAnsi="Times New Roman" w:eastAsia="仿宋_GB2312" w:cs="Segoe UI"/>
                <w:i w:val="0"/>
                <w:iCs w:val="0"/>
                <w:caps w:val="0"/>
                <w:color w:val="0F1115"/>
                <w:spacing w:val="0"/>
                <w:kern w:val="0"/>
                <w:sz w:val="21"/>
                <w:szCs w:val="21"/>
                <w:lang w:val="en-US" w:eastAsia="zh-CN" w:bidi="ar"/>
              </w:rPr>
              <w:t>正高</w:t>
            </w:r>
          </w:p>
        </w:tc>
        <w:tc>
          <w:tcPr>
            <w:tcW w:w="2240" w:type="dxa"/>
            <w:shd w:val="clear" w:color="auto" w:fill="FFFFFF"/>
            <w:tcMar>
              <w:top w:w="150" w:type="dxa"/>
              <w:left w:w="240" w:type="dxa"/>
              <w:bottom w:w="150" w:type="dxa"/>
              <w:right w:w="240" w:type="dxa"/>
            </w:tcMar>
            <w:vAlign w:val="center"/>
          </w:tcPr>
          <w:p w14:paraId="111B8B6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sz w:val="21"/>
                <w:szCs w:val="21"/>
              </w:rPr>
            </w:pPr>
            <w:r>
              <w:rPr>
                <w:rStyle w:val="14"/>
                <w:rFonts w:hint="default" w:ascii="Times New Roman" w:hAnsi="Times New Roman" w:eastAsia="仿宋_GB2312" w:cs="Segoe UI"/>
                <w:b/>
                <w:bCs/>
                <w:i w:val="0"/>
                <w:iCs w:val="0"/>
                <w:caps w:val="0"/>
                <w:color w:val="0F1115"/>
                <w:spacing w:val="0"/>
                <w:kern w:val="0"/>
                <w:sz w:val="21"/>
                <w:szCs w:val="21"/>
                <w:lang w:val="en-US" w:eastAsia="zh-CN" w:bidi="ar"/>
              </w:rPr>
              <w:t>标准大纲框架制定</w:t>
            </w:r>
            <w:r>
              <w:rPr>
                <w:rFonts w:hint="default" w:ascii="Times New Roman" w:hAnsi="Times New Roman" w:eastAsia="仿宋_GB2312" w:cs="Segoe UI"/>
                <w:i w:val="0"/>
                <w:iCs w:val="0"/>
                <w:caps w:val="0"/>
                <w:color w:val="0F1115"/>
                <w:spacing w:val="0"/>
                <w:kern w:val="0"/>
                <w:sz w:val="21"/>
                <w:szCs w:val="21"/>
                <w:lang w:val="en-US" w:eastAsia="zh-CN" w:bidi="ar"/>
              </w:rPr>
              <w:t>（参与）；</w:t>
            </w:r>
            <w:r>
              <w:rPr>
                <w:rStyle w:val="14"/>
                <w:rFonts w:hint="default" w:ascii="Times New Roman" w:hAnsi="Times New Roman" w:eastAsia="仿宋_GB2312" w:cs="Segoe UI"/>
                <w:b/>
                <w:bCs/>
                <w:i w:val="0"/>
                <w:iCs w:val="0"/>
                <w:caps w:val="0"/>
                <w:color w:val="0F1115"/>
                <w:spacing w:val="0"/>
                <w:kern w:val="0"/>
                <w:sz w:val="21"/>
                <w:szCs w:val="21"/>
                <w:lang w:val="en-US" w:eastAsia="zh-CN" w:bidi="ar"/>
              </w:rPr>
              <w:t>资料调研</w:t>
            </w:r>
            <w:r>
              <w:rPr>
                <w:rFonts w:hint="default" w:ascii="Times New Roman" w:hAnsi="Times New Roman" w:eastAsia="仿宋_GB2312" w:cs="Segoe UI"/>
                <w:i w:val="0"/>
                <w:iCs w:val="0"/>
                <w:caps w:val="0"/>
                <w:color w:val="0F1115"/>
                <w:spacing w:val="0"/>
                <w:kern w:val="0"/>
                <w:sz w:val="21"/>
                <w:szCs w:val="21"/>
                <w:lang w:val="en-US" w:eastAsia="zh-CN" w:bidi="ar"/>
              </w:rPr>
              <w:t>（监测精度要求、预警指标文献）</w:t>
            </w:r>
          </w:p>
        </w:tc>
      </w:tr>
      <w:tr w14:paraId="52D3E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1086" w:hRule="atLeast"/>
          <w:jc w:val="center"/>
        </w:trPr>
        <w:tc>
          <w:tcPr>
            <w:tcW w:w="712" w:type="dxa"/>
            <w:shd w:val="clear" w:color="auto" w:fill="FFFFFF"/>
            <w:tcMar>
              <w:top w:w="150" w:type="dxa"/>
              <w:left w:w="0" w:type="dxa"/>
              <w:bottom w:w="150" w:type="dxa"/>
              <w:right w:w="240" w:type="dxa"/>
            </w:tcMar>
            <w:vAlign w:val="center"/>
          </w:tcPr>
          <w:p w14:paraId="4D344E3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sz w:val="21"/>
                <w:szCs w:val="21"/>
              </w:rPr>
            </w:pPr>
            <w:r>
              <w:rPr>
                <w:rFonts w:hint="default" w:ascii="Times New Roman" w:hAnsi="Times New Roman" w:eastAsia="仿宋_GB2312" w:cs="Segoe UI"/>
                <w:i w:val="0"/>
                <w:iCs w:val="0"/>
                <w:caps w:val="0"/>
                <w:color w:val="0F1115"/>
                <w:spacing w:val="0"/>
                <w:kern w:val="0"/>
                <w:sz w:val="21"/>
                <w:szCs w:val="21"/>
                <w:lang w:val="en-US" w:eastAsia="zh-CN" w:bidi="ar"/>
              </w:rPr>
              <w:t>3</w:t>
            </w:r>
          </w:p>
        </w:tc>
        <w:tc>
          <w:tcPr>
            <w:tcW w:w="1193" w:type="dxa"/>
            <w:shd w:val="clear" w:color="auto" w:fill="FFFFFF"/>
            <w:tcMar>
              <w:top w:w="150" w:type="dxa"/>
              <w:left w:w="240" w:type="dxa"/>
              <w:bottom w:w="150" w:type="dxa"/>
              <w:right w:w="240" w:type="dxa"/>
            </w:tcMar>
            <w:vAlign w:val="center"/>
          </w:tcPr>
          <w:p w14:paraId="476E3D0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sz w:val="21"/>
                <w:szCs w:val="21"/>
              </w:rPr>
            </w:pPr>
            <w:r>
              <w:rPr>
                <w:rFonts w:hint="default" w:ascii="Times New Roman" w:hAnsi="Times New Roman" w:eastAsia="仿宋_GB2312" w:cs="Segoe UI"/>
                <w:i w:val="0"/>
                <w:iCs w:val="0"/>
                <w:caps w:val="0"/>
                <w:color w:val="0F1115"/>
                <w:spacing w:val="0"/>
                <w:kern w:val="0"/>
                <w:sz w:val="21"/>
                <w:szCs w:val="21"/>
                <w:lang w:val="en-US" w:eastAsia="zh-CN" w:bidi="ar"/>
              </w:rPr>
              <w:t>詹伟</w:t>
            </w:r>
          </w:p>
        </w:tc>
        <w:tc>
          <w:tcPr>
            <w:tcW w:w="2063" w:type="dxa"/>
            <w:shd w:val="clear" w:color="auto" w:fill="FFFFFF"/>
            <w:tcMar>
              <w:top w:w="150" w:type="dxa"/>
              <w:left w:w="240" w:type="dxa"/>
              <w:bottom w:w="150" w:type="dxa"/>
              <w:right w:w="240" w:type="dxa"/>
            </w:tcMar>
            <w:vAlign w:val="center"/>
          </w:tcPr>
          <w:p w14:paraId="77C1599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sz w:val="21"/>
                <w:szCs w:val="21"/>
              </w:rPr>
            </w:pPr>
            <w:r>
              <w:rPr>
                <w:rFonts w:hint="default" w:ascii="Times New Roman" w:hAnsi="Times New Roman" w:eastAsia="仿宋_GB2312" w:cs="Segoe UI"/>
                <w:i w:val="0"/>
                <w:iCs w:val="0"/>
                <w:caps w:val="0"/>
                <w:color w:val="0F1115"/>
                <w:spacing w:val="0"/>
                <w:kern w:val="0"/>
                <w:sz w:val="21"/>
                <w:szCs w:val="21"/>
                <w:lang w:val="en-US" w:eastAsia="zh-CN" w:bidi="ar"/>
              </w:rPr>
              <w:t>浙江省交通运输科学研究院</w:t>
            </w:r>
          </w:p>
        </w:tc>
        <w:tc>
          <w:tcPr>
            <w:tcW w:w="1517" w:type="dxa"/>
            <w:shd w:val="clear" w:color="auto" w:fill="FFFFFF"/>
            <w:tcMar>
              <w:top w:w="150" w:type="dxa"/>
              <w:left w:w="240" w:type="dxa"/>
              <w:bottom w:w="150" w:type="dxa"/>
              <w:right w:w="240" w:type="dxa"/>
            </w:tcMar>
            <w:vAlign w:val="center"/>
          </w:tcPr>
          <w:p w14:paraId="21D2F5E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kern w:val="0"/>
                <w:sz w:val="21"/>
                <w:szCs w:val="21"/>
                <w:lang w:val="en-US" w:eastAsia="zh-CN" w:bidi="ar"/>
              </w:rPr>
            </w:pPr>
            <w:r>
              <w:rPr>
                <w:rFonts w:hint="eastAsia" w:ascii="Times New Roman" w:hAnsi="Times New Roman" w:eastAsia="仿宋_GB2312" w:cs="Segoe UI"/>
                <w:i w:val="0"/>
                <w:iCs w:val="0"/>
                <w:caps w:val="0"/>
                <w:color w:val="0F1115"/>
                <w:spacing w:val="0"/>
                <w:kern w:val="0"/>
                <w:sz w:val="21"/>
                <w:szCs w:val="21"/>
                <w:lang w:val="en-US" w:eastAsia="zh-CN" w:bidi="ar"/>
              </w:rPr>
              <w:t>公路工程</w:t>
            </w:r>
          </w:p>
        </w:tc>
        <w:tc>
          <w:tcPr>
            <w:tcW w:w="1380" w:type="dxa"/>
            <w:shd w:val="clear" w:color="auto" w:fill="FFFFFF"/>
            <w:tcMar>
              <w:top w:w="150" w:type="dxa"/>
              <w:left w:w="240" w:type="dxa"/>
              <w:bottom w:w="150" w:type="dxa"/>
              <w:right w:w="240" w:type="dxa"/>
            </w:tcMar>
            <w:vAlign w:val="center"/>
          </w:tcPr>
          <w:p w14:paraId="77C1D7F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kern w:val="0"/>
                <w:sz w:val="21"/>
                <w:szCs w:val="21"/>
                <w:lang w:val="en-US" w:eastAsia="zh-CN" w:bidi="ar"/>
              </w:rPr>
            </w:pPr>
            <w:r>
              <w:rPr>
                <w:rFonts w:hint="eastAsia" w:ascii="Times New Roman" w:hAnsi="Times New Roman" w:eastAsia="仿宋_GB2312" w:cs="Segoe UI"/>
                <w:i w:val="0"/>
                <w:iCs w:val="0"/>
                <w:caps w:val="0"/>
                <w:color w:val="0F1115"/>
                <w:spacing w:val="0"/>
                <w:kern w:val="0"/>
                <w:sz w:val="21"/>
                <w:szCs w:val="21"/>
                <w:lang w:val="en-US" w:eastAsia="zh-CN" w:bidi="ar"/>
              </w:rPr>
              <w:t>正高</w:t>
            </w:r>
          </w:p>
        </w:tc>
        <w:tc>
          <w:tcPr>
            <w:tcW w:w="2240" w:type="dxa"/>
            <w:shd w:val="clear" w:color="auto" w:fill="FFFFFF"/>
            <w:tcMar>
              <w:top w:w="150" w:type="dxa"/>
              <w:left w:w="240" w:type="dxa"/>
              <w:bottom w:w="150" w:type="dxa"/>
              <w:right w:w="240" w:type="dxa"/>
            </w:tcMar>
            <w:vAlign w:val="center"/>
          </w:tcPr>
          <w:p w14:paraId="79C3638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sz w:val="21"/>
                <w:szCs w:val="21"/>
              </w:rPr>
            </w:pPr>
            <w:r>
              <w:rPr>
                <w:rStyle w:val="14"/>
                <w:rFonts w:hint="default" w:ascii="Times New Roman" w:hAnsi="Times New Roman" w:eastAsia="仿宋_GB2312" w:cs="Segoe UI"/>
                <w:b/>
                <w:bCs/>
                <w:i w:val="0"/>
                <w:iCs w:val="0"/>
                <w:caps w:val="0"/>
                <w:color w:val="0F1115"/>
                <w:spacing w:val="0"/>
                <w:kern w:val="0"/>
                <w:sz w:val="21"/>
                <w:szCs w:val="21"/>
                <w:lang w:val="en-US" w:eastAsia="zh-CN" w:bidi="ar"/>
              </w:rPr>
              <w:t>标准大纲框架制定</w:t>
            </w:r>
            <w:r>
              <w:rPr>
                <w:rFonts w:hint="default" w:ascii="Times New Roman" w:hAnsi="Times New Roman" w:eastAsia="仿宋_GB2312" w:cs="Segoe UI"/>
                <w:i w:val="0"/>
                <w:iCs w:val="0"/>
                <w:caps w:val="0"/>
                <w:color w:val="0F1115"/>
                <w:spacing w:val="0"/>
                <w:kern w:val="0"/>
                <w:sz w:val="21"/>
                <w:szCs w:val="21"/>
                <w:lang w:val="en-US" w:eastAsia="zh-CN" w:bidi="ar"/>
              </w:rPr>
              <w:t>（参与）；</w:t>
            </w:r>
            <w:r>
              <w:rPr>
                <w:rStyle w:val="14"/>
                <w:rFonts w:hint="default" w:ascii="Times New Roman" w:hAnsi="Times New Roman" w:eastAsia="仿宋_GB2312" w:cs="Segoe UI"/>
                <w:b/>
                <w:bCs/>
                <w:i w:val="0"/>
                <w:iCs w:val="0"/>
                <w:caps w:val="0"/>
                <w:color w:val="0F1115"/>
                <w:spacing w:val="0"/>
                <w:kern w:val="0"/>
                <w:sz w:val="21"/>
                <w:szCs w:val="21"/>
                <w:lang w:val="en-US" w:eastAsia="zh-CN" w:bidi="ar"/>
              </w:rPr>
              <w:t>工程调研</w:t>
            </w:r>
            <w:r>
              <w:rPr>
                <w:rFonts w:hint="default" w:ascii="Times New Roman" w:hAnsi="Times New Roman" w:eastAsia="仿宋_GB2312" w:cs="Segoe UI"/>
                <w:i w:val="0"/>
                <w:iCs w:val="0"/>
                <w:caps w:val="0"/>
                <w:color w:val="0F1115"/>
                <w:spacing w:val="0"/>
                <w:kern w:val="0"/>
                <w:sz w:val="21"/>
                <w:szCs w:val="21"/>
                <w:lang w:val="en-US" w:eastAsia="zh-CN" w:bidi="ar"/>
              </w:rPr>
              <w:t>（路堑/路堤边坡</w:t>
            </w:r>
            <w:r>
              <w:rPr>
                <w:rFonts w:hint="eastAsia" w:ascii="Times New Roman" w:hAnsi="Times New Roman" w:eastAsia="仿宋_GB2312" w:cs="Segoe UI"/>
                <w:i w:val="0"/>
                <w:iCs w:val="0"/>
                <w:caps w:val="0"/>
                <w:color w:val="0F1115"/>
                <w:spacing w:val="0"/>
                <w:kern w:val="0"/>
                <w:sz w:val="21"/>
                <w:szCs w:val="21"/>
                <w:lang w:val="en-US" w:eastAsia="zh-CN" w:bidi="ar"/>
              </w:rPr>
              <w:t>监测</w:t>
            </w:r>
            <w:r>
              <w:rPr>
                <w:rFonts w:hint="default" w:ascii="Times New Roman" w:hAnsi="Times New Roman" w:eastAsia="仿宋_GB2312" w:cs="Segoe UI"/>
                <w:i w:val="0"/>
                <w:iCs w:val="0"/>
                <w:caps w:val="0"/>
                <w:color w:val="0F1115"/>
                <w:spacing w:val="0"/>
                <w:kern w:val="0"/>
                <w:sz w:val="21"/>
                <w:szCs w:val="21"/>
                <w:lang w:val="en-US" w:eastAsia="zh-CN" w:bidi="ar"/>
              </w:rPr>
              <w:t>案例收集）</w:t>
            </w:r>
          </w:p>
        </w:tc>
      </w:tr>
      <w:tr w14:paraId="5A41D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1086" w:hRule="atLeast"/>
          <w:jc w:val="center"/>
        </w:trPr>
        <w:tc>
          <w:tcPr>
            <w:tcW w:w="712" w:type="dxa"/>
            <w:shd w:val="clear" w:color="auto" w:fill="FFFFFF"/>
            <w:tcMar>
              <w:top w:w="150" w:type="dxa"/>
              <w:left w:w="0" w:type="dxa"/>
              <w:bottom w:w="150" w:type="dxa"/>
              <w:right w:w="240" w:type="dxa"/>
            </w:tcMar>
            <w:vAlign w:val="center"/>
          </w:tcPr>
          <w:p w14:paraId="1AFC4D4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sz w:val="21"/>
                <w:szCs w:val="21"/>
              </w:rPr>
            </w:pPr>
            <w:r>
              <w:rPr>
                <w:rFonts w:hint="default" w:ascii="Times New Roman" w:hAnsi="Times New Roman" w:eastAsia="仿宋_GB2312" w:cs="Segoe UI"/>
                <w:i w:val="0"/>
                <w:iCs w:val="0"/>
                <w:caps w:val="0"/>
                <w:color w:val="0F1115"/>
                <w:spacing w:val="0"/>
                <w:kern w:val="0"/>
                <w:sz w:val="21"/>
                <w:szCs w:val="21"/>
                <w:lang w:val="en-US" w:eastAsia="zh-CN" w:bidi="ar"/>
              </w:rPr>
              <w:t>4</w:t>
            </w:r>
          </w:p>
        </w:tc>
        <w:tc>
          <w:tcPr>
            <w:tcW w:w="1193" w:type="dxa"/>
            <w:shd w:val="clear" w:color="auto" w:fill="FFFFFF"/>
            <w:tcMar>
              <w:top w:w="150" w:type="dxa"/>
              <w:left w:w="240" w:type="dxa"/>
              <w:bottom w:w="150" w:type="dxa"/>
              <w:right w:w="240" w:type="dxa"/>
            </w:tcMar>
            <w:vAlign w:val="center"/>
          </w:tcPr>
          <w:p w14:paraId="6E206B2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sz w:val="21"/>
                <w:szCs w:val="21"/>
              </w:rPr>
            </w:pPr>
            <w:r>
              <w:rPr>
                <w:rFonts w:hint="default" w:ascii="Times New Roman" w:hAnsi="Times New Roman" w:eastAsia="仿宋_GB2312" w:cs="Segoe UI"/>
                <w:i w:val="0"/>
                <w:iCs w:val="0"/>
                <w:caps w:val="0"/>
                <w:color w:val="0F1115"/>
                <w:spacing w:val="0"/>
                <w:kern w:val="0"/>
                <w:sz w:val="21"/>
                <w:szCs w:val="21"/>
                <w:lang w:val="en-US" w:eastAsia="zh-CN" w:bidi="ar"/>
              </w:rPr>
              <w:t>唐朝生</w:t>
            </w:r>
          </w:p>
        </w:tc>
        <w:tc>
          <w:tcPr>
            <w:tcW w:w="2063" w:type="dxa"/>
            <w:shd w:val="clear" w:color="auto" w:fill="FFFFFF"/>
            <w:tcMar>
              <w:top w:w="150" w:type="dxa"/>
              <w:left w:w="240" w:type="dxa"/>
              <w:bottom w:w="150" w:type="dxa"/>
              <w:right w:w="240" w:type="dxa"/>
            </w:tcMar>
            <w:vAlign w:val="center"/>
          </w:tcPr>
          <w:p w14:paraId="28F73B4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sz w:val="21"/>
                <w:szCs w:val="21"/>
              </w:rPr>
            </w:pPr>
            <w:r>
              <w:rPr>
                <w:rFonts w:hint="default" w:ascii="Times New Roman" w:hAnsi="Times New Roman" w:eastAsia="仿宋_GB2312" w:cs="Segoe UI"/>
                <w:i w:val="0"/>
                <w:iCs w:val="0"/>
                <w:caps w:val="0"/>
                <w:color w:val="0F1115"/>
                <w:spacing w:val="0"/>
                <w:kern w:val="0"/>
                <w:sz w:val="21"/>
                <w:szCs w:val="21"/>
                <w:lang w:val="en-US" w:eastAsia="zh-CN" w:bidi="ar"/>
              </w:rPr>
              <w:t>南京大学</w:t>
            </w:r>
          </w:p>
        </w:tc>
        <w:tc>
          <w:tcPr>
            <w:tcW w:w="1517" w:type="dxa"/>
            <w:shd w:val="clear" w:color="auto" w:fill="FFFFFF"/>
            <w:tcMar>
              <w:top w:w="150" w:type="dxa"/>
              <w:left w:w="240" w:type="dxa"/>
              <w:bottom w:w="150" w:type="dxa"/>
              <w:right w:w="240" w:type="dxa"/>
            </w:tcMar>
            <w:vAlign w:val="center"/>
          </w:tcPr>
          <w:p w14:paraId="323A9CE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kern w:val="0"/>
                <w:sz w:val="21"/>
                <w:szCs w:val="21"/>
                <w:lang w:val="en-US" w:eastAsia="zh-CN" w:bidi="ar"/>
              </w:rPr>
            </w:pPr>
            <w:r>
              <w:rPr>
                <w:rFonts w:hint="eastAsia" w:ascii="Times New Roman" w:hAnsi="Times New Roman" w:eastAsia="仿宋_GB2312" w:cs="Segoe UI"/>
                <w:i w:val="0"/>
                <w:iCs w:val="0"/>
                <w:caps w:val="0"/>
                <w:color w:val="0F1115"/>
                <w:spacing w:val="0"/>
                <w:kern w:val="0"/>
                <w:sz w:val="21"/>
                <w:szCs w:val="21"/>
                <w:lang w:val="en-US" w:eastAsia="zh-CN" w:bidi="ar"/>
              </w:rPr>
              <w:t>岩土工程</w:t>
            </w:r>
          </w:p>
        </w:tc>
        <w:tc>
          <w:tcPr>
            <w:tcW w:w="1380" w:type="dxa"/>
            <w:shd w:val="clear" w:color="auto" w:fill="FFFFFF"/>
            <w:tcMar>
              <w:top w:w="150" w:type="dxa"/>
              <w:left w:w="240" w:type="dxa"/>
              <w:bottom w:w="150" w:type="dxa"/>
              <w:right w:w="240" w:type="dxa"/>
            </w:tcMar>
            <w:vAlign w:val="center"/>
          </w:tcPr>
          <w:p w14:paraId="3A90EEF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kern w:val="0"/>
                <w:sz w:val="21"/>
                <w:szCs w:val="21"/>
                <w:lang w:val="en-US" w:eastAsia="zh-CN" w:bidi="ar"/>
              </w:rPr>
            </w:pPr>
            <w:r>
              <w:rPr>
                <w:rFonts w:hint="eastAsia" w:ascii="Times New Roman" w:hAnsi="Times New Roman" w:eastAsia="仿宋_GB2312" w:cs="Segoe UI"/>
                <w:i w:val="0"/>
                <w:iCs w:val="0"/>
                <w:caps w:val="0"/>
                <w:color w:val="0F1115"/>
                <w:spacing w:val="0"/>
                <w:kern w:val="0"/>
                <w:sz w:val="21"/>
                <w:szCs w:val="21"/>
                <w:lang w:val="en-US" w:eastAsia="zh-CN" w:bidi="ar"/>
              </w:rPr>
              <w:t>教授</w:t>
            </w:r>
          </w:p>
        </w:tc>
        <w:tc>
          <w:tcPr>
            <w:tcW w:w="2240" w:type="dxa"/>
            <w:shd w:val="clear" w:color="auto" w:fill="FFFFFF"/>
            <w:tcMar>
              <w:top w:w="150" w:type="dxa"/>
              <w:left w:w="240" w:type="dxa"/>
              <w:bottom w:w="150" w:type="dxa"/>
              <w:right w:w="240" w:type="dxa"/>
            </w:tcMar>
            <w:vAlign w:val="center"/>
          </w:tcPr>
          <w:p w14:paraId="6E61375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sz w:val="21"/>
                <w:szCs w:val="21"/>
              </w:rPr>
            </w:pPr>
            <w:r>
              <w:rPr>
                <w:rStyle w:val="14"/>
                <w:rFonts w:hint="default" w:ascii="Times New Roman" w:hAnsi="Times New Roman" w:eastAsia="仿宋_GB2312" w:cs="Segoe UI"/>
                <w:b/>
                <w:bCs/>
                <w:i w:val="0"/>
                <w:iCs w:val="0"/>
                <w:caps w:val="0"/>
                <w:color w:val="0F1115"/>
                <w:spacing w:val="0"/>
                <w:kern w:val="0"/>
                <w:sz w:val="21"/>
                <w:szCs w:val="21"/>
                <w:lang w:val="en-US" w:eastAsia="zh-CN" w:bidi="ar"/>
              </w:rPr>
              <w:t>资料调研</w:t>
            </w:r>
            <w:r>
              <w:rPr>
                <w:rFonts w:hint="default" w:ascii="Times New Roman" w:hAnsi="Times New Roman" w:eastAsia="仿宋_GB2312" w:cs="Segoe UI"/>
                <w:i w:val="0"/>
                <w:iCs w:val="0"/>
                <w:caps w:val="0"/>
                <w:color w:val="0F1115"/>
                <w:spacing w:val="0"/>
                <w:kern w:val="0"/>
                <w:sz w:val="21"/>
                <w:szCs w:val="21"/>
                <w:lang w:val="en-US" w:eastAsia="zh-CN" w:bidi="ar"/>
              </w:rPr>
              <w:t>（监测内容选择相关的国内外标准、文献）；</w:t>
            </w:r>
            <w:r>
              <w:rPr>
                <w:rStyle w:val="14"/>
                <w:rFonts w:hint="default" w:ascii="Times New Roman" w:hAnsi="Times New Roman" w:eastAsia="仿宋_GB2312" w:cs="Segoe UI"/>
                <w:b/>
                <w:bCs/>
                <w:i w:val="0"/>
                <w:iCs w:val="0"/>
                <w:caps w:val="0"/>
                <w:color w:val="0F1115"/>
                <w:spacing w:val="0"/>
                <w:kern w:val="0"/>
                <w:sz w:val="21"/>
                <w:szCs w:val="21"/>
                <w:lang w:val="en-US" w:eastAsia="zh-CN" w:bidi="ar"/>
              </w:rPr>
              <w:t>工程调研</w:t>
            </w:r>
            <w:r>
              <w:rPr>
                <w:rFonts w:hint="default" w:ascii="Times New Roman" w:hAnsi="Times New Roman" w:eastAsia="仿宋_GB2312" w:cs="Segoe UI"/>
                <w:i w:val="0"/>
                <w:iCs w:val="0"/>
                <w:caps w:val="0"/>
                <w:color w:val="0F1115"/>
                <w:spacing w:val="0"/>
                <w:kern w:val="0"/>
                <w:sz w:val="21"/>
                <w:szCs w:val="21"/>
                <w:lang w:val="en-US" w:eastAsia="zh-CN" w:bidi="ar"/>
              </w:rPr>
              <w:t>（复杂地质边坡</w:t>
            </w:r>
            <w:r>
              <w:rPr>
                <w:rFonts w:hint="eastAsia" w:ascii="Times New Roman" w:hAnsi="Times New Roman" w:eastAsia="仿宋_GB2312" w:cs="Segoe UI"/>
                <w:i w:val="0"/>
                <w:iCs w:val="0"/>
                <w:caps w:val="0"/>
                <w:color w:val="0F1115"/>
                <w:spacing w:val="0"/>
                <w:kern w:val="0"/>
                <w:sz w:val="21"/>
                <w:szCs w:val="21"/>
                <w:lang w:val="en-US" w:eastAsia="zh-CN" w:bidi="ar"/>
              </w:rPr>
              <w:t>监测</w:t>
            </w:r>
            <w:r>
              <w:rPr>
                <w:rFonts w:hint="default" w:ascii="Times New Roman" w:hAnsi="Times New Roman" w:eastAsia="仿宋_GB2312" w:cs="Segoe UI"/>
                <w:i w:val="0"/>
                <w:iCs w:val="0"/>
                <w:caps w:val="0"/>
                <w:color w:val="0F1115"/>
                <w:spacing w:val="0"/>
                <w:kern w:val="0"/>
                <w:sz w:val="21"/>
                <w:szCs w:val="21"/>
                <w:lang w:val="en-US" w:eastAsia="zh-CN" w:bidi="ar"/>
              </w:rPr>
              <w:t>案例）</w:t>
            </w:r>
          </w:p>
        </w:tc>
      </w:tr>
      <w:tr w14:paraId="7035E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1449" w:hRule="atLeast"/>
          <w:jc w:val="center"/>
        </w:trPr>
        <w:tc>
          <w:tcPr>
            <w:tcW w:w="712" w:type="dxa"/>
            <w:shd w:val="clear" w:color="auto" w:fill="FFFFFF"/>
            <w:tcMar>
              <w:top w:w="150" w:type="dxa"/>
              <w:left w:w="0" w:type="dxa"/>
              <w:bottom w:w="150" w:type="dxa"/>
              <w:right w:w="240" w:type="dxa"/>
            </w:tcMar>
            <w:vAlign w:val="center"/>
          </w:tcPr>
          <w:p w14:paraId="7B5ECEE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sz w:val="21"/>
                <w:szCs w:val="21"/>
              </w:rPr>
            </w:pPr>
            <w:r>
              <w:rPr>
                <w:rFonts w:hint="default" w:ascii="Times New Roman" w:hAnsi="Times New Roman" w:eastAsia="仿宋_GB2312" w:cs="Segoe UI"/>
                <w:i w:val="0"/>
                <w:iCs w:val="0"/>
                <w:caps w:val="0"/>
                <w:color w:val="0F1115"/>
                <w:spacing w:val="0"/>
                <w:kern w:val="0"/>
                <w:sz w:val="21"/>
                <w:szCs w:val="21"/>
                <w:lang w:val="en-US" w:eastAsia="zh-CN" w:bidi="ar"/>
              </w:rPr>
              <w:t>5</w:t>
            </w:r>
          </w:p>
        </w:tc>
        <w:tc>
          <w:tcPr>
            <w:tcW w:w="1193" w:type="dxa"/>
            <w:shd w:val="clear" w:color="auto" w:fill="FFFFFF"/>
            <w:tcMar>
              <w:top w:w="150" w:type="dxa"/>
              <w:left w:w="240" w:type="dxa"/>
              <w:bottom w:w="150" w:type="dxa"/>
              <w:right w:w="240" w:type="dxa"/>
            </w:tcMar>
            <w:vAlign w:val="center"/>
          </w:tcPr>
          <w:p w14:paraId="536B256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sz w:val="21"/>
                <w:szCs w:val="21"/>
              </w:rPr>
            </w:pPr>
            <w:r>
              <w:rPr>
                <w:rFonts w:hint="default" w:ascii="Times New Roman" w:hAnsi="Times New Roman" w:eastAsia="仿宋_GB2312" w:cs="Segoe UI"/>
                <w:i w:val="0"/>
                <w:iCs w:val="0"/>
                <w:caps w:val="0"/>
                <w:color w:val="0F1115"/>
                <w:spacing w:val="0"/>
                <w:kern w:val="0"/>
                <w:sz w:val="21"/>
                <w:szCs w:val="21"/>
                <w:lang w:val="en-US" w:eastAsia="zh-CN" w:bidi="ar"/>
              </w:rPr>
              <w:t>顾民</w:t>
            </w:r>
          </w:p>
        </w:tc>
        <w:tc>
          <w:tcPr>
            <w:tcW w:w="2063" w:type="dxa"/>
            <w:shd w:val="clear" w:color="auto" w:fill="FFFFFF"/>
            <w:tcMar>
              <w:top w:w="150" w:type="dxa"/>
              <w:left w:w="240" w:type="dxa"/>
              <w:bottom w:w="150" w:type="dxa"/>
              <w:right w:w="240" w:type="dxa"/>
            </w:tcMar>
            <w:vAlign w:val="center"/>
          </w:tcPr>
          <w:p w14:paraId="0FFF637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sz w:val="21"/>
                <w:szCs w:val="21"/>
              </w:rPr>
            </w:pPr>
            <w:r>
              <w:rPr>
                <w:rFonts w:hint="default" w:ascii="Times New Roman" w:hAnsi="Times New Roman" w:eastAsia="仿宋_GB2312" w:cs="Segoe UI"/>
                <w:i w:val="0"/>
                <w:iCs w:val="0"/>
                <w:caps w:val="0"/>
                <w:color w:val="0F1115"/>
                <w:spacing w:val="0"/>
                <w:kern w:val="0"/>
                <w:sz w:val="21"/>
                <w:szCs w:val="21"/>
                <w:lang w:val="en-US" w:eastAsia="zh-CN" w:bidi="ar"/>
              </w:rPr>
              <w:t>上海市政工程设计研究总院</w:t>
            </w:r>
            <w:r>
              <w:rPr>
                <w:rFonts w:hint="eastAsia" w:ascii="Times New Roman" w:hAnsi="Times New Roman" w:eastAsia="仿宋_GB2312" w:cs="Segoe UI"/>
                <w:i w:val="0"/>
                <w:iCs w:val="0"/>
                <w:caps w:val="0"/>
                <w:color w:val="0F1115"/>
                <w:spacing w:val="0"/>
                <w:kern w:val="0"/>
                <w:sz w:val="21"/>
                <w:szCs w:val="21"/>
                <w:lang w:val="en-US" w:eastAsia="zh-CN" w:bidi="ar"/>
              </w:rPr>
              <w:t>（</w:t>
            </w:r>
            <w:r>
              <w:rPr>
                <w:rFonts w:hint="default" w:ascii="Times New Roman" w:hAnsi="Times New Roman" w:eastAsia="仿宋_GB2312" w:cs="Segoe UI"/>
                <w:i w:val="0"/>
                <w:iCs w:val="0"/>
                <w:caps w:val="0"/>
                <w:color w:val="0F1115"/>
                <w:spacing w:val="0"/>
                <w:kern w:val="0"/>
                <w:sz w:val="21"/>
                <w:szCs w:val="21"/>
                <w:lang w:val="en-US" w:eastAsia="zh-CN" w:bidi="ar"/>
              </w:rPr>
              <w:t>集团</w:t>
            </w:r>
            <w:r>
              <w:rPr>
                <w:rFonts w:hint="eastAsia" w:ascii="Times New Roman" w:hAnsi="Times New Roman" w:eastAsia="仿宋_GB2312" w:cs="Segoe UI"/>
                <w:i w:val="0"/>
                <w:iCs w:val="0"/>
                <w:caps w:val="0"/>
                <w:color w:val="0F1115"/>
                <w:spacing w:val="0"/>
                <w:kern w:val="0"/>
                <w:sz w:val="21"/>
                <w:szCs w:val="21"/>
                <w:lang w:val="en-US" w:eastAsia="zh-CN" w:bidi="ar"/>
              </w:rPr>
              <w:t>）</w:t>
            </w:r>
            <w:r>
              <w:rPr>
                <w:rFonts w:hint="default" w:ascii="Times New Roman" w:hAnsi="Times New Roman" w:eastAsia="仿宋_GB2312" w:cs="Segoe UI"/>
                <w:i w:val="0"/>
                <w:iCs w:val="0"/>
                <w:caps w:val="0"/>
                <w:color w:val="0F1115"/>
                <w:spacing w:val="0"/>
                <w:kern w:val="0"/>
                <w:sz w:val="21"/>
                <w:szCs w:val="21"/>
                <w:lang w:val="en-US" w:eastAsia="zh-CN" w:bidi="ar"/>
              </w:rPr>
              <w:t>有限公司</w:t>
            </w:r>
          </w:p>
        </w:tc>
        <w:tc>
          <w:tcPr>
            <w:tcW w:w="1517" w:type="dxa"/>
            <w:shd w:val="clear" w:color="auto" w:fill="FFFFFF"/>
            <w:tcMar>
              <w:top w:w="150" w:type="dxa"/>
              <w:left w:w="240" w:type="dxa"/>
              <w:bottom w:w="150" w:type="dxa"/>
              <w:right w:w="240" w:type="dxa"/>
            </w:tcMar>
            <w:vAlign w:val="center"/>
          </w:tcPr>
          <w:p w14:paraId="596F0EC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kern w:val="0"/>
                <w:sz w:val="21"/>
                <w:szCs w:val="21"/>
                <w:lang w:val="en-US" w:eastAsia="zh-CN" w:bidi="ar"/>
              </w:rPr>
            </w:pPr>
            <w:r>
              <w:rPr>
                <w:rFonts w:hint="eastAsia" w:ascii="Times New Roman" w:hAnsi="Times New Roman" w:eastAsia="仿宋_GB2312" w:cs="Segoe UI"/>
                <w:i w:val="0"/>
                <w:iCs w:val="0"/>
                <w:caps w:val="0"/>
                <w:color w:val="0F1115"/>
                <w:spacing w:val="0"/>
                <w:kern w:val="0"/>
                <w:sz w:val="21"/>
                <w:szCs w:val="21"/>
                <w:lang w:val="en-US" w:eastAsia="zh-CN" w:bidi="ar"/>
              </w:rPr>
              <w:t>公路工程</w:t>
            </w:r>
          </w:p>
        </w:tc>
        <w:tc>
          <w:tcPr>
            <w:tcW w:w="1380" w:type="dxa"/>
            <w:shd w:val="clear" w:color="auto" w:fill="FFFFFF"/>
            <w:tcMar>
              <w:top w:w="150" w:type="dxa"/>
              <w:left w:w="240" w:type="dxa"/>
              <w:bottom w:w="150" w:type="dxa"/>
              <w:right w:w="240" w:type="dxa"/>
            </w:tcMar>
            <w:vAlign w:val="center"/>
          </w:tcPr>
          <w:p w14:paraId="23EA6F9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kern w:val="0"/>
                <w:sz w:val="21"/>
                <w:szCs w:val="21"/>
                <w:lang w:val="en-US" w:eastAsia="zh-CN" w:bidi="ar"/>
              </w:rPr>
            </w:pPr>
            <w:r>
              <w:rPr>
                <w:rFonts w:hint="eastAsia" w:ascii="Times New Roman" w:hAnsi="Times New Roman" w:eastAsia="仿宋_GB2312" w:cs="Segoe UI"/>
                <w:i w:val="0"/>
                <w:iCs w:val="0"/>
                <w:caps w:val="0"/>
                <w:color w:val="0F1115"/>
                <w:spacing w:val="0"/>
                <w:kern w:val="0"/>
                <w:sz w:val="21"/>
                <w:szCs w:val="21"/>
                <w:lang w:val="en-US" w:eastAsia="zh-CN" w:bidi="ar"/>
              </w:rPr>
              <w:t>正高</w:t>
            </w:r>
          </w:p>
        </w:tc>
        <w:tc>
          <w:tcPr>
            <w:tcW w:w="2240" w:type="dxa"/>
            <w:shd w:val="clear" w:color="auto" w:fill="FFFFFF"/>
            <w:tcMar>
              <w:top w:w="150" w:type="dxa"/>
              <w:left w:w="240" w:type="dxa"/>
              <w:bottom w:w="150" w:type="dxa"/>
              <w:right w:w="240" w:type="dxa"/>
            </w:tcMar>
            <w:vAlign w:val="center"/>
          </w:tcPr>
          <w:p w14:paraId="1D22DE6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sz w:val="21"/>
                <w:szCs w:val="21"/>
              </w:rPr>
            </w:pPr>
            <w:r>
              <w:rPr>
                <w:rStyle w:val="14"/>
                <w:rFonts w:hint="default" w:ascii="Times New Roman" w:hAnsi="Times New Roman" w:eastAsia="仿宋_GB2312" w:cs="Segoe UI"/>
                <w:b/>
                <w:bCs/>
                <w:i w:val="0"/>
                <w:iCs w:val="0"/>
                <w:caps w:val="0"/>
                <w:color w:val="0F1115"/>
                <w:spacing w:val="0"/>
                <w:kern w:val="0"/>
                <w:sz w:val="21"/>
                <w:szCs w:val="21"/>
                <w:lang w:val="en-US" w:eastAsia="zh-CN" w:bidi="ar"/>
              </w:rPr>
              <w:t>资料调研</w:t>
            </w:r>
            <w:r>
              <w:rPr>
                <w:rFonts w:hint="default" w:ascii="Times New Roman" w:hAnsi="Times New Roman" w:eastAsia="仿宋_GB2312" w:cs="Segoe UI"/>
                <w:i w:val="0"/>
                <w:iCs w:val="0"/>
                <w:caps w:val="0"/>
                <w:color w:val="0F1115"/>
                <w:spacing w:val="0"/>
                <w:kern w:val="0"/>
                <w:sz w:val="21"/>
                <w:szCs w:val="21"/>
                <w:lang w:val="en-US" w:eastAsia="zh-CN" w:bidi="ar"/>
              </w:rPr>
              <w:t>（监测点位布设原则、规范）；</w:t>
            </w:r>
            <w:r>
              <w:rPr>
                <w:rStyle w:val="14"/>
                <w:rFonts w:hint="default" w:ascii="Times New Roman" w:hAnsi="Times New Roman" w:eastAsia="仿宋_GB2312" w:cs="Segoe UI"/>
                <w:b/>
                <w:bCs/>
                <w:i w:val="0"/>
                <w:iCs w:val="0"/>
                <w:caps w:val="0"/>
                <w:color w:val="0F1115"/>
                <w:spacing w:val="0"/>
                <w:kern w:val="0"/>
                <w:sz w:val="21"/>
                <w:szCs w:val="21"/>
                <w:lang w:val="en-US" w:eastAsia="zh-CN" w:bidi="ar"/>
              </w:rPr>
              <w:t>工程调研</w:t>
            </w:r>
            <w:r>
              <w:rPr>
                <w:rFonts w:hint="default" w:ascii="Times New Roman" w:hAnsi="Times New Roman" w:eastAsia="仿宋_GB2312" w:cs="Segoe UI"/>
                <w:i w:val="0"/>
                <w:iCs w:val="0"/>
                <w:caps w:val="0"/>
                <w:color w:val="0F1115"/>
                <w:spacing w:val="0"/>
                <w:kern w:val="0"/>
                <w:sz w:val="21"/>
                <w:szCs w:val="21"/>
                <w:lang w:val="en-US" w:eastAsia="zh-CN" w:bidi="ar"/>
              </w:rPr>
              <w:t>（在役边坡监测案例）</w:t>
            </w:r>
          </w:p>
        </w:tc>
      </w:tr>
      <w:tr w14:paraId="11151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1449" w:hRule="atLeast"/>
          <w:jc w:val="center"/>
        </w:trPr>
        <w:tc>
          <w:tcPr>
            <w:tcW w:w="712" w:type="dxa"/>
            <w:shd w:val="clear" w:color="auto" w:fill="FFFFFF"/>
            <w:tcMar>
              <w:top w:w="150" w:type="dxa"/>
              <w:left w:w="0" w:type="dxa"/>
              <w:bottom w:w="150" w:type="dxa"/>
              <w:right w:w="240" w:type="dxa"/>
            </w:tcMar>
            <w:vAlign w:val="center"/>
          </w:tcPr>
          <w:p w14:paraId="157140F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sz w:val="21"/>
                <w:szCs w:val="21"/>
              </w:rPr>
            </w:pPr>
            <w:r>
              <w:rPr>
                <w:rFonts w:hint="default" w:ascii="Times New Roman" w:hAnsi="Times New Roman" w:eastAsia="仿宋_GB2312" w:cs="Segoe UI"/>
                <w:i w:val="0"/>
                <w:iCs w:val="0"/>
                <w:caps w:val="0"/>
                <w:color w:val="0F1115"/>
                <w:spacing w:val="0"/>
                <w:kern w:val="0"/>
                <w:sz w:val="21"/>
                <w:szCs w:val="21"/>
                <w:lang w:val="en-US" w:eastAsia="zh-CN" w:bidi="ar"/>
              </w:rPr>
              <w:t>6</w:t>
            </w:r>
          </w:p>
        </w:tc>
        <w:tc>
          <w:tcPr>
            <w:tcW w:w="1193" w:type="dxa"/>
            <w:shd w:val="clear" w:color="auto" w:fill="FFFFFF"/>
            <w:tcMar>
              <w:top w:w="150" w:type="dxa"/>
              <w:left w:w="240" w:type="dxa"/>
              <w:bottom w:w="150" w:type="dxa"/>
              <w:right w:w="240" w:type="dxa"/>
            </w:tcMar>
            <w:vAlign w:val="center"/>
          </w:tcPr>
          <w:p w14:paraId="0B07681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sz w:val="21"/>
                <w:szCs w:val="21"/>
              </w:rPr>
            </w:pPr>
            <w:r>
              <w:rPr>
                <w:rFonts w:hint="default" w:ascii="Times New Roman" w:hAnsi="Times New Roman" w:eastAsia="仿宋_GB2312" w:cs="Segoe UI"/>
                <w:i w:val="0"/>
                <w:iCs w:val="0"/>
                <w:caps w:val="0"/>
                <w:color w:val="0F1115"/>
                <w:spacing w:val="0"/>
                <w:kern w:val="0"/>
                <w:sz w:val="21"/>
                <w:szCs w:val="21"/>
                <w:lang w:val="en-US" w:eastAsia="zh-CN" w:bidi="ar"/>
              </w:rPr>
              <w:t>张志峰</w:t>
            </w:r>
          </w:p>
        </w:tc>
        <w:tc>
          <w:tcPr>
            <w:tcW w:w="2063" w:type="dxa"/>
            <w:shd w:val="clear" w:color="auto" w:fill="FFFFFF"/>
            <w:tcMar>
              <w:top w:w="150" w:type="dxa"/>
              <w:left w:w="240" w:type="dxa"/>
              <w:bottom w:w="150" w:type="dxa"/>
              <w:right w:w="240" w:type="dxa"/>
            </w:tcMar>
            <w:vAlign w:val="center"/>
          </w:tcPr>
          <w:p w14:paraId="720464C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sz w:val="21"/>
                <w:szCs w:val="21"/>
              </w:rPr>
            </w:pPr>
            <w:r>
              <w:rPr>
                <w:rFonts w:hint="default" w:ascii="Times New Roman" w:hAnsi="Times New Roman" w:eastAsia="仿宋_GB2312" w:cs="Segoe UI"/>
                <w:i w:val="0"/>
                <w:iCs w:val="0"/>
                <w:caps w:val="0"/>
                <w:color w:val="0F1115"/>
                <w:spacing w:val="0"/>
                <w:kern w:val="0"/>
                <w:sz w:val="21"/>
                <w:szCs w:val="21"/>
                <w:lang w:val="en-US" w:eastAsia="zh-CN" w:bidi="ar"/>
              </w:rPr>
              <w:t>安徽省交通规划设计研究总院股份有限公司</w:t>
            </w:r>
          </w:p>
        </w:tc>
        <w:tc>
          <w:tcPr>
            <w:tcW w:w="1517" w:type="dxa"/>
            <w:shd w:val="clear" w:color="auto" w:fill="FFFFFF"/>
            <w:tcMar>
              <w:top w:w="150" w:type="dxa"/>
              <w:left w:w="240" w:type="dxa"/>
              <w:bottom w:w="150" w:type="dxa"/>
              <w:right w:w="240" w:type="dxa"/>
            </w:tcMar>
            <w:vAlign w:val="center"/>
          </w:tcPr>
          <w:p w14:paraId="1F0F07A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kern w:val="0"/>
                <w:sz w:val="21"/>
                <w:szCs w:val="21"/>
                <w:lang w:val="en-US" w:eastAsia="zh-CN" w:bidi="ar"/>
              </w:rPr>
            </w:pPr>
            <w:r>
              <w:rPr>
                <w:rFonts w:hint="eastAsia" w:ascii="Times New Roman" w:hAnsi="Times New Roman" w:eastAsia="仿宋_GB2312" w:cs="Segoe UI"/>
                <w:i w:val="0"/>
                <w:iCs w:val="0"/>
                <w:caps w:val="0"/>
                <w:color w:val="0F1115"/>
                <w:spacing w:val="0"/>
                <w:kern w:val="0"/>
                <w:sz w:val="21"/>
                <w:szCs w:val="21"/>
                <w:lang w:val="en-US" w:eastAsia="zh-CN" w:bidi="ar"/>
              </w:rPr>
              <w:t>岩土工程</w:t>
            </w:r>
          </w:p>
        </w:tc>
        <w:tc>
          <w:tcPr>
            <w:tcW w:w="1380" w:type="dxa"/>
            <w:shd w:val="clear" w:color="auto" w:fill="FFFFFF"/>
            <w:tcMar>
              <w:top w:w="150" w:type="dxa"/>
              <w:left w:w="240" w:type="dxa"/>
              <w:bottom w:w="150" w:type="dxa"/>
              <w:right w:w="240" w:type="dxa"/>
            </w:tcMar>
            <w:vAlign w:val="center"/>
          </w:tcPr>
          <w:p w14:paraId="589F7B7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kern w:val="0"/>
                <w:sz w:val="21"/>
                <w:szCs w:val="21"/>
                <w:lang w:val="en-US" w:eastAsia="zh-CN" w:bidi="ar"/>
              </w:rPr>
            </w:pPr>
            <w:r>
              <w:rPr>
                <w:rFonts w:hint="eastAsia" w:ascii="Times New Roman" w:hAnsi="Times New Roman" w:eastAsia="仿宋_GB2312" w:cs="Segoe UI"/>
                <w:i w:val="0"/>
                <w:iCs w:val="0"/>
                <w:caps w:val="0"/>
                <w:color w:val="0F1115"/>
                <w:spacing w:val="0"/>
                <w:kern w:val="0"/>
                <w:sz w:val="21"/>
                <w:szCs w:val="21"/>
                <w:lang w:val="en-US" w:eastAsia="zh-CN" w:bidi="ar"/>
              </w:rPr>
              <w:t>正高</w:t>
            </w:r>
          </w:p>
        </w:tc>
        <w:tc>
          <w:tcPr>
            <w:tcW w:w="2240" w:type="dxa"/>
            <w:shd w:val="clear" w:color="auto" w:fill="FFFFFF"/>
            <w:tcMar>
              <w:top w:w="150" w:type="dxa"/>
              <w:left w:w="240" w:type="dxa"/>
              <w:bottom w:w="150" w:type="dxa"/>
              <w:right w:w="240" w:type="dxa"/>
            </w:tcMar>
            <w:vAlign w:val="center"/>
          </w:tcPr>
          <w:p w14:paraId="71A3AB3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sz w:val="21"/>
                <w:szCs w:val="21"/>
              </w:rPr>
            </w:pPr>
            <w:r>
              <w:rPr>
                <w:rStyle w:val="14"/>
                <w:rFonts w:hint="default" w:ascii="Times New Roman" w:hAnsi="Times New Roman" w:eastAsia="仿宋_GB2312" w:cs="Segoe UI"/>
                <w:b/>
                <w:bCs/>
                <w:i w:val="0"/>
                <w:iCs w:val="0"/>
                <w:caps w:val="0"/>
                <w:color w:val="0F1115"/>
                <w:spacing w:val="0"/>
                <w:kern w:val="0"/>
                <w:sz w:val="21"/>
                <w:szCs w:val="21"/>
                <w:lang w:val="en-US" w:eastAsia="zh-CN" w:bidi="ar"/>
              </w:rPr>
              <w:t>资料调研</w:t>
            </w:r>
            <w:r>
              <w:rPr>
                <w:rFonts w:hint="default" w:ascii="Times New Roman" w:hAnsi="Times New Roman" w:eastAsia="仿宋_GB2312" w:cs="Segoe UI"/>
                <w:i w:val="0"/>
                <w:iCs w:val="0"/>
                <w:caps w:val="0"/>
                <w:color w:val="0F1115"/>
                <w:spacing w:val="0"/>
                <w:kern w:val="0"/>
                <w:sz w:val="21"/>
                <w:szCs w:val="21"/>
                <w:lang w:val="en-US" w:eastAsia="zh-CN" w:bidi="ar"/>
              </w:rPr>
              <w:t>（表面变形、深部变形监测方法及精度）；</w:t>
            </w:r>
            <w:r>
              <w:rPr>
                <w:rStyle w:val="14"/>
                <w:rFonts w:hint="default" w:ascii="Times New Roman" w:hAnsi="Times New Roman" w:eastAsia="仿宋_GB2312" w:cs="Segoe UI"/>
                <w:b/>
                <w:bCs/>
                <w:i w:val="0"/>
                <w:iCs w:val="0"/>
                <w:caps w:val="0"/>
                <w:color w:val="0F1115"/>
                <w:spacing w:val="0"/>
                <w:kern w:val="0"/>
                <w:sz w:val="21"/>
                <w:szCs w:val="21"/>
                <w:lang w:val="en-US" w:eastAsia="zh-CN" w:bidi="ar"/>
              </w:rPr>
              <w:t>条文编写</w:t>
            </w:r>
          </w:p>
        </w:tc>
      </w:tr>
      <w:tr w14:paraId="0DE2F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1449" w:hRule="atLeast"/>
          <w:jc w:val="center"/>
        </w:trPr>
        <w:tc>
          <w:tcPr>
            <w:tcW w:w="712" w:type="dxa"/>
            <w:shd w:val="clear" w:color="auto" w:fill="FFFFFF"/>
            <w:tcMar>
              <w:top w:w="150" w:type="dxa"/>
              <w:left w:w="0" w:type="dxa"/>
              <w:bottom w:w="150" w:type="dxa"/>
              <w:right w:w="240" w:type="dxa"/>
            </w:tcMar>
            <w:vAlign w:val="center"/>
          </w:tcPr>
          <w:p w14:paraId="32DCD2E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sz w:val="21"/>
                <w:szCs w:val="21"/>
              </w:rPr>
            </w:pPr>
            <w:r>
              <w:rPr>
                <w:rFonts w:hint="default" w:ascii="Times New Roman" w:hAnsi="Times New Roman" w:eastAsia="仿宋_GB2312" w:cs="Segoe UI"/>
                <w:i w:val="0"/>
                <w:iCs w:val="0"/>
                <w:caps w:val="0"/>
                <w:color w:val="0F1115"/>
                <w:spacing w:val="0"/>
                <w:kern w:val="0"/>
                <w:sz w:val="21"/>
                <w:szCs w:val="21"/>
                <w:lang w:val="en-US" w:eastAsia="zh-CN" w:bidi="ar"/>
              </w:rPr>
              <w:t>7</w:t>
            </w:r>
          </w:p>
        </w:tc>
        <w:tc>
          <w:tcPr>
            <w:tcW w:w="1193" w:type="dxa"/>
            <w:shd w:val="clear" w:color="auto" w:fill="FFFFFF"/>
            <w:tcMar>
              <w:top w:w="150" w:type="dxa"/>
              <w:left w:w="240" w:type="dxa"/>
              <w:bottom w:w="150" w:type="dxa"/>
              <w:right w:w="240" w:type="dxa"/>
            </w:tcMar>
            <w:vAlign w:val="center"/>
          </w:tcPr>
          <w:p w14:paraId="4C74BDC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sz w:val="21"/>
                <w:szCs w:val="21"/>
              </w:rPr>
            </w:pPr>
            <w:r>
              <w:rPr>
                <w:rFonts w:hint="default" w:ascii="Times New Roman" w:hAnsi="Times New Roman" w:eastAsia="仿宋_GB2312" w:cs="Segoe UI"/>
                <w:i w:val="0"/>
                <w:iCs w:val="0"/>
                <w:caps w:val="0"/>
                <w:color w:val="0F1115"/>
                <w:spacing w:val="0"/>
                <w:kern w:val="0"/>
                <w:sz w:val="21"/>
                <w:szCs w:val="21"/>
                <w:lang w:val="en-US" w:eastAsia="zh-CN" w:bidi="ar"/>
              </w:rPr>
              <w:t>杨大海</w:t>
            </w:r>
          </w:p>
        </w:tc>
        <w:tc>
          <w:tcPr>
            <w:tcW w:w="2063" w:type="dxa"/>
            <w:shd w:val="clear" w:color="auto" w:fill="FFFFFF"/>
            <w:tcMar>
              <w:top w:w="150" w:type="dxa"/>
              <w:left w:w="240" w:type="dxa"/>
              <w:bottom w:w="150" w:type="dxa"/>
              <w:right w:w="240" w:type="dxa"/>
            </w:tcMar>
            <w:vAlign w:val="center"/>
          </w:tcPr>
          <w:p w14:paraId="1CF257D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sz w:val="21"/>
                <w:szCs w:val="21"/>
              </w:rPr>
            </w:pPr>
            <w:r>
              <w:rPr>
                <w:rFonts w:hint="default" w:ascii="Times New Roman" w:hAnsi="Times New Roman" w:eastAsia="仿宋_GB2312" w:cs="Segoe UI"/>
                <w:i w:val="0"/>
                <w:iCs w:val="0"/>
                <w:caps w:val="0"/>
                <w:color w:val="0F1115"/>
                <w:spacing w:val="0"/>
                <w:kern w:val="0"/>
                <w:sz w:val="21"/>
                <w:szCs w:val="21"/>
                <w:lang w:val="en-US" w:eastAsia="zh-CN" w:bidi="ar"/>
              </w:rPr>
              <w:t>安徽省交通规划设计研究总院股份有限公司</w:t>
            </w:r>
          </w:p>
        </w:tc>
        <w:tc>
          <w:tcPr>
            <w:tcW w:w="1517" w:type="dxa"/>
            <w:shd w:val="clear" w:color="auto" w:fill="FFFFFF"/>
            <w:tcMar>
              <w:top w:w="150" w:type="dxa"/>
              <w:left w:w="240" w:type="dxa"/>
              <w:bottom w:w="150" w:type="dxa"/>
              <w:right w:w="240" w:type="dxa"/>
            </w:tcMar>
            <w:vAlign w:val="center"/>
          </w:tcPr>
          <w:p w14:paraId="09DF1B1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kern w:val="0"/>
                <w:sz w:val="21"/>
                <w:szCs w:val="21"/>
                <w:lang w:val="en-US" w:eastAsia="zh-CN" w:bidi="ar"/>
              </w:rPr>
            </w:pPr>
            <w:r>
              <w:rPr>
                <w:rFonts w:hint="eastAsia" w:ascii="Times New Roman" w:hAnsi="Times New Roman" w:eastAsia="仿宋_GB2312" w:cs="Segoe UI"/>
                <w:i w:val="0"/>
                <w:iCs w:val="0"/>
                <w:caps w:val="0"/>
                <w:color w:val="0F1115"/>
                <w:spacing w:val="0"/>
                <w:kern w:val="0"/>
                <w:sz w:val="21"/>
                <w:szCs w:val="21"/>
                <w:lang w:val="en-US" w:eastAsia="zh-CN" w:bidi="ar"/>
              </w:rPr>
              <w:t>公路工程</w:t>
            </w:r>
          </w:p>
        </w:tc>
        <w:tc>
          <w:tcPr>
            <w:tcW w:w="1380" w:type="dxa"/>
            <w:shd w:val="clear" w:color="auto" w:fill="FFFFFF"/>
            <w:tcMar>
              <w:top w:w="150" w:type="dxa"/>
              <w:left w:w="240" w:type="dxa"/>
              <w:bottom w:w="150" w:type="dxa"/>
              <w:right w:w="240" w:type="dxa"/>
            </w:tcMar>
            <w:vAlign w:val="center"/>
          </w:tcPr>
          <w:p w14:paraId="0693933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kern w:val="0"/>
                <w:sz w:val="21"/>
                <w:szCs w:val="21"/>
                <w:lang w:val="en-US" w:eastAsia="zh-CN" w:bidi="ar"/>
              </w:rPr>
            </w:pPr>
            <w:r>
              <w:rPr>
                <w:rFonts w:hint="eastAsia" w:ascii="Times New Roman" w:hAnsi="Times New Roman" w:eastAsia="仿宋_GB2312" w:cs="Segoe UI"/>
                <w:i w:val="0"/>
                <w:iCs w:val="0"/>
                <w:caps w:val="0"/>
                <w:color w:val="0F1115"/>
                <w:spacing w:val="0"/>
                <w:kern w:val="0"/>
                <w:sz w:val="21"/>
                <w:szCs w:val="21"/>
                <w:lang w:val="en-US" w:eastAsia="zh-CN" w:bidi="ar"/>
              </w:rPr>
              <w:t>正高</w:t>
            </w:r>
          </w:p>
        </w:tc>
        <w:tc>
          <w:tcPr>
            <w:tcW w:w="2240" w:type="dxa"/>
            <w:shd w:val="clear" w:color="auto" w:fill="FFFFFF"/>
            <w:tcMar>
              <w:top w:w="150" w:type="dxa"/>
              <w:left w:w="240" w:type="dxa"/>
              <w:bottom w:w="150" w:type="dxa"/>
              <w:right w:w="240" w:type="dxa"/>
            </w:tcMar>
            <w:vAlign w:val="center"/>
          </w:tcPr>
          <w:p w14:paraId="7D68B3C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sz w:val="21"/>
                <w:szCs w:val="21"/>
              </w:rPr>
            </w:pPr>
            <w:r>
              <w:rPr>
                <w:rStyle w:val="14"/>
                <w:rFonts w:hint="default" w:ascii="Times New Roman" w:hAnsi="Times New Roman" w:eastAsia="仿宋_GB2312" w:cs="Segoe UI"/>
                <w:b/>
                <w:bCs/>
                <w:i w:val="0"/>
                <w:iCs w:val="0"/>
                <w:caps w:val="0"/>
                <w:color w:val="0F1115"/>
                <w:spacing w:val="0"/>
                <w:kern w:val="0"/>
                <w:sz w:val="21"/>
                <w:szCs w:val="21"/>
                <w:lang w:val="en-US" w:eastAsia="zh-CN" w:bidi="ar"/>
              </w:rPr>
              <w:t>资料调研</w:t>
            </w:r>
            <w:r>
              <w:rPr>
                <w:rFonts w:hint="default" w:ascii="Times New Roman" w:hAnsi="Times New Roman" w:eastAsia="仿宋_GB2312" w:cs="Segoe UI"/>
                <w:i w:val="0"/>
                <w:iCs w:val="0"/>
                <w:caps w:val="0"/>
                <w:color w:val="0F1115"/>
                <w:spacing w:val="0"/>
                <w:kern w:val="0"/>
                <w:sz w:val="21"/>
                <w:szCs w:val="21"/>
                <w:lang w:val="en-US" w:eastAsia="zh-CN" w:bidi="ar"/>
              </w:rPr>
              <w:t>（影响因素、支护结构监测方法及设备）；</w:t>
            </w:r>
            <w:r>
              <w:rPr>
                <w:rStyle w:val="14"/>
                <w:rFonts w:hint="default" w:ascii="Times New Roman" w:hAnsi="Times New Roman" w:eastAsia="仿宋_GB2312" w:cs="Segoe UI"/>
                <w:b/>
                <w:bCs/>
                <w:i w:val="0"/>
                <w:iCs w:val="0"/>
                <w:caps w:val="0"/>
                <w:color w:val="0F1115"/>
                <w:spacing w:val="0"/>
                <w:kern w:val="0"/>
                <w:sz w:val="21"/>
                <w:szCs w:val="21"/>
                <w:lang w:val="en-US" w:eastAsia="zh-CN" w:bidi="ar"/>
              </w:rPr>
              <w:t>条文编写</w:t>
            </w:r>
          </w:p>
        </w:tc>
      </w:tr>
      <w:tr w14:paraId="234A8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1449" w:hRule="atLeast"/>
          <w:jc w:val="center"/>
        </w:trPr>
        <w:tc>
          <w:tcPr>
            <w:tcW w:w="712" w:type="dxa"/>
            <w:shd w:val="clear" w:color="auto" w:fill="FFFFFF"/>
            <w:tcMar>
              <w:top w:w="150" w:type="dxa"/>
              <w:left w:w="0" w:type="dxa"/>
              <w:bottom w:w="150" w:type="dxa"/>
              <w:right w:w="240" w:type="dxa"/>
            </w:tcMar>
            <w:vAlign w:val="center"/>
          </w:tcPr>
          <w:p w14:paraId="4A771F6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sz w:val="21"/>
                <w:szCs w:val="21"/>
              </w:rPr>
            </w:pPr>
            <w:r>
              <w:rPr>
                <w:rFonts w:hint="default" w:ascii="Times New Roman" w:hAnsi="Times New Roman" w:eastAsia="仿宋_GB2312" w:cs="Segoe UI"/>
                <w:i w:val="0"/>
                <w:iCs w:val="0"/>
                <w:caps w:val="0"/>
                <w:color w:val="0F1115"/>
                <w:spacing w:val="0"/>
                <w:kern w:val="0"/>
                <w:sz w:val="21"/>
                <w:szCs w:val="21"/>
                <w:lang w:val="en-US" w:eastAsia="zh-CN" w:bidi="ar"/>
              </w:rPr>
              <w:t>8</w:t>
            </w:r>
          </w:p>
        </w:tc>
        <w:tc>
          <w:tcPr>
            <w:tcW w:w="1193" w:type="dxa"/>
            <w:shd w:val="clear" w:color="auto" w:fill="FFFFFF"/>
            <w:tcMar>
              <w:top w:w="150" w:type="dxa"/>
              <w:left w:w="240" w:type="dxa"/>
              <w:bottom w:w="150" w:type="dxa"/>
              <w:right w:w="240" w:type="dxa"/>
            </w:tcMar>
            <w:vAlign w:val="center"/>
          </w:tcPr>
          <w:p w14:paraId="22BEA53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sz w:val="21"/>
                <w:szCs w:val="21"/>
              </w:rPr>
            </w:pPr>
            <w:r>
              <w:rPr>
                <w:rFonts w:hint="default" w:ascii="Times New Roman" w:hAnsi="Times New Roman" w:eastAsia="仿宋_GB2312" w:cs="Segoe UI"/>
                <w:i w:val="0"/>
                <w:iCs w:val="0"/>
                <w:caps w:val="0"/>
                <w:color w:val="0F1115"/>
                <w:spacing w:val="0"/>
                <w:kern w:val="0"/>
                <w:sz w:val="21"/>
                <w:szCs w:val="21"/>
                <w:lang w:val="en-US" w:eastAsia="zh-CN" w:bidi="ar"/>
              </w:rPr>
              <w:t>李翻翻</w:t>
            </w:r>
          </w:p>
        </w:tc>
        <w:tc>
          <w:tcPr>
            <w:tcW w:w="2063" w:type="dxa"/>
            <w:shd w:val="clear" w:color="auto" w:fill="FFFFFF"/>
            <w:tcMar>
              <w:top w:w="150" w:type="dxa"/>
              <w:left w:w="240" w:type="dxa"/>
              <w:bottom w:w="150" w:type="dxa"/>
              <w:right w:w="240" w:type="dxa"/>
            </w:tcMar>
            <w:vAlign w:val="center"/>
          </w:tcPr>
          <w:p w14:paraId="07DBDA2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sz w:val="21"/>
                <w:szCs w:val="21"/>
              </w:rPr>
            </w:pPr>
            <w:r>
              <w:rPr>
                <w:rFonts w:hint="default" w:ascii="Times New Roman" w:hAnsi="Times New Roman" w:eastAsia="仿宋_GB2312" w:cs="Segoe UI"/>
                <w:i w:val="0"/>
                <w:iCs w:val="0"/>
                <w:caps w:val="0"/>
                <w:color w:val="0F1115"/>
                <w:spacing w:val="0"/>
                <w:kern w:val="0"/>
                <w:sz w:val="21"/>
                <w:szCs w:val="21"/>
                <w:lang w:val="en-US" w:eastAsia="zh-CN" w:bidi="ar"/>
              </w:rPr>
              <w:t>安徽省交通规划设计研究总院股份有限公司</w:t>
            </w:r>
          </w:p>
        </w:tc>
        <w:tc>
          <w:tcPr>
            <w:tcW w:w="1517" w:type="dxa"/>
            <w:shd w:val="clear" w:color="auto" w:fill="FFFFFF"/>
            <w:tcMar>
              <w:top w:w="150" w:type="dxa"/>
              <w:left w:w="240" w:type="dxa"/>
              <w:bottom w:w="150" w:type="dxa"/>
              <w:right w:w="240" w:type="dxa"/>
            </w:tcMar>
            <w:vAlign w:val="center"/>
          </w:tcPr>
          <w:p w14:paraId="25C310A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kern w:val="0"/>
                <w:sz w:val="21"/>
                <w:szCs w:val="21"/>
                <w:lang w:val="en-US" w:eastAsia="zh-CN" w:bidi="ar"/>
              </w:rPr>
            </w:pPr>
            <w:r>
              <w:rPr>
                <w:rFonts w:hint="eastAsia" w:ascii="Times New Roman" w:hAnsi="Times New Roman" w:eastAsia="仿宋_GB2312" w:cs="Segoe UI"/>
                <w:i w:val="0"/>
                <w:iCs w:val="0"/>
                <w:caps w:val="0"/>
                <w:color w:val="0F1115"/>
                <w:spacing w:val="0"/>
                <w:kern w:val="0"/>
                <w:sz w:val="21"/>
                <w:szCs w:val="21"/>
                <w:lang w:val="en-US" w:eastAsia="zh-CN" w:bidi="ar"/>
              </w:rPr>
              <w:t>岩土工程</w:t>
            </w:r>
          </w:p>
        </w:tc>
        <w:tc>
          <w:tcPr>
            <w:tcW w:w="1380" w:type="dxa"/>
            <w:shd w:val="clear" w:color="auto" w:fill="FFFFFF"/>
            <w:tcMar>
              <w:top w:w="150" w:type="dxa"/>
              <w:left w:w="240" w:type="dxa"/>
              <w:bottom w:w="150" w:type="dxa"/>
              <w:right w:w="240" w:type="dxa"/>
            </w:tcMar>
            <w:vAlign w:val="center"/>
          </w:tcPr>
          <w:p w14:paraId="099DE69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kern w:val="0"/>
                <w:sz w:val="21"/>
                <w:szCs w:val="21"/>
                <w:lang w:val="en-US" w:eastAsia="zh-CN" w:bidi="ar"/>
              </w:rPr>
            </w:pPr>
            <w:r>
              <w:rPr>
                <w:rFonts w:hint="eastAsia" w:ascii="Times New Roman" w:hAnsi="Times New Roman" w:eastAsia="仿宋_GB2312" w:cs="Segoe UI"/>
                <w:i w:val="0"/>
                <w:iCs w:val="0"/>
                <w:caps w:val="0"/>
                <w:color w:val="0F1115"/>
                <w:spacing w:val="0"/>
                <w:kern w:val="0"/>
                <w:sz w:val="21"/>
                <w:szCs w:val="21"/>
                <w:lang w:val="en-US" w:eastAsia="zh-CN" w:bidi="ar"/>
              </w:rPr>
              <w:t>副高</w:t>
            </w:r>
          </w:p>
        </w:tc>
        <w:tc>
          <w:tcPr>
            <w:tcW w:w="2240" w:type="dxa"/>
            <w:shd w:val="clear" w:color="auto" w:fill="FFFFFF"/>
            <w:tcMar>
              <w:top w:w="150" w:type="dxa"/>
              <w:left w:w="240" w:type="dxa"/>
              <w:bottom w:w="150" w:type="dxa"/>
              <w:right w:w="240" w:type="dxa"/>
            </w:tcMar>
            <w:vAlign w:val="center"/>
          </w:tcPr>
          <w:p w14:paraId="1F1E9A8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sz w:val="21"/>
                <w:szCs w:val="21"/>
              </w:rPr>
            </w:pPr>
            <w:r>
              <w:rPr>
                <w:rStyle w:val="14"/>
                <w:rFonts w:hint="default" w:ascii="Times New Roman" w:hAnsi="Times New Roman" w:eastAsia="仿宋_GB2312" w:cs="Segoe UI"/>
                <w:b/>
                <w:bCs/>
                <w:i w:val="0"/>
                <w:iCs w:val="0"/>
                <w:caps w:val="0"/>
                <w:color w:val="0F1115"/>
                <w:spacing w:val="0"/>
                <w:kern w:val="0"/>
                <w:sz w:val="21"/>
                <w:szCs w:val="21"/>
                <w:lang w:val="en-US" w:eastAsia="zh-CN" w:bidi="ar"/>
              </w:rPr>
              <w:t>资料调研</w:t>
            </w:r>
            <w:r>
              <w:rPr>
                <w:rFonts w:hint="default" w:ascii="Times New Roman" w:hAnsi="Times New Roman" w:eastAsia="仿宋_GB2312" w:cs="Segoe UI"/>
                <w:i w:val="0"/>
                <w:iCs w:val="0"/>
                <w:caps w:val="0"/>
                <w:color w:val="0F1115"/>
                <w:spacing w:val="0"/>
                <w:kern w:val="0"/>
                <w:sz w:val="21"/>
                <w:szCs w:val="21"/>
                <w:lang w:val="en-US" w:eastAsia="zh-CN" w:bidi="ar"/>
              </w:rPr>
              <w:t>（监测点布设间距、加密原则）；</w:t>
            </w:r>
            <w:r>
              <w:rPr>
                <w:rStyle w:val="14"/>
                <w:rFonts w:hint="default" w:ascii="Times New Roman" w:hAnsi="Times New Roman" w:eastAsia="仿宋_GB2312" w:cs="Segoe UI"/>
                <w:b/>
                <w:bCs/>
                <w:i w:val="0"/>
                <w:iCs w:val="0"/>
                <w:caps w:val="0"/>
                <w:color w:val="0F1115"/>
                <w:spacing w:val="0"/>
                <w:kern w:val="0"/>
                <w:sz w:val="21"/>
                <w:szCs w:val="21"/>
                <w:lang w:val="en-US" w:eastAsia="zh-CN" w:bidi="ar"/>
              </w:rPr>
              <w:t>条文编写</w:t>
            </w:r>
          </w:p>
        </w:tc>
      </w:tr>
      <w:tr w14:paraId="4E304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1086" w:hRule="atLeast"/>
          <w:jc w:val="center"/>
        </w:trPr>
        <w:tc>
          <w:tcPr>
            <w:tcW w:w="712" w:type="dxa"/>
            <w:shd w:val="clear" w:color="auto" w:fill="FFFFFF"/>
            <w:tcMar>
              <w:top w:w="150" w:type="dxa"/>
              <w:left w:w="0" w:type="dxa"/>
              <w:bottom w:w="150" w:type="dxa"/>
              <w:right w:w="240" w:type="dxa"/>
            </w:tcMar>
            <w:vAlign w:val="center"/>
          </w:tcPr>
          <w:p w14:paraId="34B96DB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sz w:val="21"/>
                <w:szCs w:val="21"/>
              </w:rPr>
            </w:pPr>
            <w:r>
              <w:rPr>
                <w:rFonts w:hint="default" w:ascii="Times New Roman" w:hAnsi="Times New Roman" w:eastAsia="仿宋_GB2312" w:cs="Segoe UI"/>
                <w:i w:val="0"/>
                <w:iCs w:val="0"/>
                <w:caps w:val="0"/>
                <w:color w:val="0F1115"/>
                <w:spacing w:val="0"/>
                <w:kern w:val="0"/>
                <w:sz w:val="21"/>
                <w:szCs w:val="21"/>
                <w:lang w:val="en-US" w:eastAsia="zh-CN" w:bidi="ar"/>
              </w:rPr>
              <w:t>9</w:t>
            </w:r>
          </w:p>
        </w:tc>
        <w:tc>
          <w:tcPr>
            <w:tcW w:w="1193" w:type="dxa"/>
            <w:shd w:val="clear" w:color="auto" w:fill="FFFFFF"/>
            <w:tcMar>
              <w:top w:w="150" w:type="dxa"/>
              <w:left w:w="240" w:type="dxa"/>
              <w:bottom w:w="150" w:type="dxa"/>
              <w:right w:w="240" w:type="dxa"/>
            </w:tcMar>
            <w:vAlign w:val="center"/>
          </w:tcPr>
          <w:p w14:paraId="0B236CD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sz w:val="21"/>
                <w:szCs w:val="21"/>
              </w:rPr>
            </w:pPr>
            <w:r>
              <w:rPr>
                <w:rFonts w:hint="default" w:ascii="Times New Roman" w:hAnsi="Times New Roman" w:eastAsia="仿宋_GB2312" w:cs="Segoe UI"/>
                <w:i w:val="0"/>
                <w:iCs w:val="0"/>
                <w:caps w:val="0"/>
                <w:color w:val="0F1115"/>
                <w:spacing w:val="0"/>
                <w:kern w:val="0"/>
                <w:sz w:val="21"/>
                <w:szCs w:val="21"/>
                <w:lang w:val="en-US" w:eastAsia="zh-CN" w:bidi="ar"/>
              </w:rPr>
              <w:t>张宇峰</w:t>
            </w:r>
          </w:p>
        </w:tc>
        <w:tc>
          <w:tcPr>
            <w:tcW w:w="2063" w:type="dxa"/>
            <w:shd w:val="clear" w:color="auto" w:fill="FFFFFF"/>
            <w:tcMar>
              <w:top w:w="150" w:type="dxa"/>
              <w:left w:w="240" w:type="dxa"/>
              <w:bottom w:w="150" w:type="dxa"/>
              <w:right w:w="240" w:type="dxa"/>
            </w:tcMar>
            <w:vAlign w:val="center"/>
          </w:tcPr>
          <w:p w14:paraId="0DAF820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sz w:val="21"/>
                <w:szCs w:val="21"/>
              </w:rPr>
            </w:pPr>
            <w:r>
              <w:rPr>
                <w:rFonts w:hint="default" w:ascii="Times New Roman" w:hAnsi="Times New Roman" w:eastAsia="仿宋_GB2312" w:cs="Segoe UI"/>
                <w:i w:val="0"/>
                <w:iCs w:val="0"/>
                <w:caps w:val="0"/>
                <w:color w:val="0F1115"/>
                <w:spacing w:val="0"/>
                <w:kern w:val="0"/>
                <w:sz w:val="21"/>
                <w:szCs w:val="21"/>
                <w:lang w:val="en-US" w:eastAsia="zh-CN" w:bidi="ar"/>
              </w:rPr>
              <w:t>苏交科集团股份有限公司</w:t>
            </w:r>
          </w:p>
        </w:tc>
        <w:tc>
          <w:tcPr>
            <w:tcW w:w="1517" w:type="dxa"/>
            <w:shd w:val="clear" w:color="auto" w:fill="FFFFFF"/>
            <w:tcMar>
              <w:top w:w="150" w:type="dxa"/>
              <w:left w:w="240" w:type="dxa"/>
              <w:bottom w:w="150" w:type="dxa"/>
              <w:right w:w="240" w:type="dxa"/>
            </w:tcMar>
            <w:vAlign w:val="center"/>
          </w:tcPr>
          <w:p w14:paraId="6D55011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kern w:val="0"/>
                <w:sz w:val="21"/>
                <w:szCs w:val="21"/>
                <w:lang w:val="en-US" w:eastAsia="zh-CN" w:bidi="ar"/>
              </w:rPr>
            </w:pPr>
            <w:r>
              <w:rPr>
                <w:rFonts w:hint="eastAsia" w:ascii="Times New Roman" w:hAnsi="Times New Roman" w:eastAsia="仿宋_GB2312" w:cs="Segoe UI"/>
                <w:i w:val="0"/>
                <w:iCs w:val="0"/>
                <w:caps w:val="0"/>
                <w:color w:val="0F1115"/>
                <w:spacing w:val="0"/>
                <w:kern w:val="0"/>
                <w:sz w:val="21"/>
                <w:szCs w:val="21"/>
                <w:lang w:val="en-US" w:eastAsia="zh-CN" w:bidi="ar"/>
              </w:rPr>
              <w:t>公路工程</w:t>
            </w:r>
          </w:p>
        </w:tc>
        <w:tc>
          <w:tcPr>
            <w:tcW w:w="1380" w:type="dxa"/>
            <w:shd w:val="clear" w:color="auto" w:fill="FFFFFF"/>
            <w:tcMar>
              <w:top w:w="150" w:type="dxa"/>
              <w:left w:w="240" w:type="dxa"/>
              <w:bottom w:w="150" w:type="dxa"/>
              <w:right w:w="240" w:type="dxa"/>
            </w:tcMar>
            <w:vAlign w:val="center"/>
          </w:tcPr>
          <w:p w14:paraId="6EFE8E4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kern w:val="0"/>
                <w:sz w:val="21"/>
                <w:szCs w:val="21"/>
                <w:lang w:val="en-US" w:eastAsia="zh-CN" w:bidi="ar"/>
              </w:rPr>
            </w:pPr>
            <w:r>
              <w:rPr>
                <w:rFonts w:hint="eastAsia" w:ascii="Times New Roman" w:hAnsi="Times New Roman" w:eastAsia="仿宋_GB2312" w:cs="Segoe UI"/>
                <w:i w:val="0"/>
                <w:iCs w:val="0"/>
                <w:caps w:val="0"/>
                <w:color w:val="0F1115"/>
                <w:spacing w:val="0"/>
                <w:kern w:val="0"/>
                <w:sz w:val="21"/>
                <w:szCs w:val="21"/>
                <w:lang w:val="en-US" w:eastAsia="zh-CN" w:bidi="ar"/>
              </w:rPr>
              <w:t>正高</w:t>
            </w:r>
          </w:p>
        </w:tc>
        <w:tc>
          <w:tcPr>
            <w:tcW w:w="2240" w:type="dxa"/>
            <w:shd w:val="clear" w:color="auto" w:fill="FFFFFF"/>
            <w:tcMar>
              <w:top w:w="150" w:type="dxa"/>
              <w:left w:w="240" w:type="dxa"/>
              <w:bottom w:w="150" w:type="dxa"/>
              <w:right w:w="240" w:type="dxa"/>
            </w:tcMar>
            <w:vAlign w:val="center"/>
          </w:tcPr>
          <w:p w14:paraId="01E4CC0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sz w:val="21"/>
                <w:szCs w:val="21"/>
              </w:rPr>
            </w:pPr>
            <w:r>
              <w:rPr>
                <w:rStyle w:val="14"/>
                <w:rFonts w:hint="default" w:ascii="Times New Roman" w:hAnsi="Times New Roman" w:eastAsia="仿宋_GB2312" w:cs="Segoe UI"/>
                <w:b/>
                <w:bCs/>
                <w:i w:val="0"/>
                <w:iCs w:val="0"/>
                <w:caps w:val="0"/>
                <w:color w:val="0F1115"/>
                <w:spacing w:val="0"/>
                <w:kern w:val="0"/>
                <w:sz w:val="21"/>
                <w:szCs w:val="21"/>
                <w:lang w:val="en-US" w:eastAsia="zh-CN" w:bidi="ar"/>
              </w:rPr>
              <w:t>工程调研</w:t>
            </w:r>
            <w:r>
              <w:rPr>
                <w:rFonts w:hint="default" w:ascii="Times New Roman" w:hAnsi="Times New Roman" w:eastAsia="仿宋_GB2312" w:cs="Segoe UI"/>
                <w:i w:val="0"/>
                <w:iCs w:val="0"/>
                <w:caps w:val="0"/>
                <w:color w:val="0F1115"/>
                <w:spacing w:val="0"/>
                <w:kern w:val="0"/>
                <w:sz w:val="21"/>
                <w:szCs w:val="21"/>
                <w:lang w:val="en-US" w:eastAsia="zh-CN" w:bidi="ar"/>
              </w:rPr>
              <w:t>（监测设备及安装工程案例）；</w:t>
            </w:r>
            <w:r>
              <w:rPr>
                <w:rStyle w:val="14"/>
                <w:rFonts w:hint="default" w:ascii="Times New Roman" w:hAnsi="Times New Roman" w:eastAsia="仿宋_GB2312" w:cs="Segoe UI"/>
                <w:b/>
                <w:bCs/>
                <w:i w:val="0"/>
                <w:iCs w:val="0"/>
                <w:caps w:val="0"/>
                <w:color w:val="0F1115"/>
                <w:spacing w:val="0"/>
                <w:kern w:val="0"/>
                <w:sz w:val="21"/>
                <w:szCs w:val="21"/>
                <w:lang w:val="en-US" w:eastAsia="zh-CN" w:bidi="ar"/>
              </w:rPr>
              <w:t>条文编写</w:t>
            </w:r>
          </w:p>
        </w:tc>
      </w:tr>
      <w:tr w14:paraId="1BA44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1449" w:hRule="atLeast"/>
          <w:jc w:val="center"/>
        </w:trPr>
        <w:tc>
          <w:tcPr>
            <w:tcW w:w="712" w:type="dxa"/>
            <w:shd w:val="clear" w:color="auto" w:fill="FFFFFF"/>
            <w:tcMar>
              <w:top w:w="150" w:type="dxa"/>
              <w:left w:w="0" w:type="dxa"/>
              <w:bottom w:w="150" w:type="dxa"/>
              <w:right w:w="240" w:type="dxa"/>
            </w:tcMar>
            <w:vAlign w:val="center"/>
          </w:tcPr>
          <w:p w14:paraId="5FDE1ED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sz w:val="21"/>
                <w:szCs w:val="21"/>
              </w:rPr>
            </w:pPr>
            <w:r>
              <w:rPr>
                <w:rFonts w:hint="default" w:ascii="Times New Roman" w:hAnsi="Times New Roman" w:eastAsia="仿宋_GB2312" w:cs="Segoe UI"/>
                <w:i w:val="0"/>
                <w:iCs w:val="0"/>
                <w:caps w:val="0"/>
                <w:color w:val="0F1115"/>
                <w:spacing w:val="0"/>
                <w:kern w:val="0"/>
                <w:sz w:val="21"/>
                <w:szCs w:val="21"/>
                <w:lang w:val="en-US" w:eastAsia="zh-CN" w:bidi="ar"/>
              </w:rPr>
              <w:t>10</w:t>
            </w:r>
          </w:p>
        </w:tc>
        <w:tc>
          <w:tcPr>
            <w:tcW w:w="1193" w:type="dxa"/>
            <w:shd w:val="clear" w:color="auto" w:fill="FFFFFF"/>
            <w:tcMar>
              <w:top w:w="150" w:type="dxa"/>
              <w:left w:w="240" w:type="dxa"/>
              <w:bottom w:w="150" w:type="dxa"/>
              <w:right w:w="240" w:type="dxa"/>
            </w:tcMar>
            <w:vAlign w:val="center"/>
          </w:tcPr>
          <w:p w14:paraId="5BA4E02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sz w:val="21"/>
                <w:szCs w:val="21"/>
              </w:rPr>
            </w:pPr>
            <w:r>
              <w:rPr>
                <w:rFonts w:hint="default" w:ascii="Times New Roman" w:hAnsi="Times New Roman" w:eastAsia="仿宋_GB2312" w:cs="Segoe UI"/>
                <w:i w:val="0"/>
                <w:iCs w:val="0"/>
                <w:caps w:val="0"/>
                <w:color w:val="0F1115"/>
                <w:spacing w:val="0"/>
                <w:kern w:val="0"/>
                <w:sz w:val="21"/>
                <w:szCs w:val="21"/>
                <w:lang w:val="en-US" w:eastAsia="zh-CN" w:bidi="ar"/>
              </w:rPr>
              <w:t>戴伟</w:t>
            </w:r>
          </w:p>
        </w:tc>
        <w:tc>
          <w:tcPr>
            <w:tcW w:w="2063" w:type="dxa"/>
            <w:shd w:val="clear" w:color="auto" w:fill="FFFFFF"/>
            <w:tcMar>
              <w:top w:w="150" w:type="dxa"/>
              <w:left w:w="240" w:type="dxa"/>
              <w:bottom w:w="150" w:type="dxa"/>
              <w:right w:w="240" w:type="dxa"/>
            </w:tcMar>
            <w:vAlign w:val="center"/>
          </w:tcPr>
          <w:p w14:paraId="5934D7B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sz w:val="21"/>
                <w:szCs w:val="21"/>
              </w:rPr>
            </w:pPr>
            <w:r>
              <w:rPr>
                <w:rFonts w:hint="default" w:ascii="Times New Roman" w:hAnsi="Times New Roman" w:eastAsia="仿宋_GB2312" w:cs="Segoe UI"/>
                <w:i w:val="0"/>
                <w:iCs w:val="0"/>
                <w:caps w:val="0"/>
                <w:color w:val="0F1115"/>
                <w:spacing w:val="0"/>
                <w:kern w:val="0"/>
                <w:sz w:val="21"/>
                <w:szCs w:val="21"/>
                <w:lang w:val="en-US" w:eastAsia="zh-CN" w:bidi="ar"/>
              </w:rPr>
              <w:t>上海市政工程设计研究总院</w:t>
            </w:r>
            <w:r>
              <w:rPr>
                <w:rFonts w:hint="eastAsia" w:ascii="Times New Roman" w:hAnsi="Times New Roman" w:eastAsia="仿宋_GB2312" w:cs="Segoe UI"/>
                <w:i w:val="0"/>
                <w:iCs w:val="0"/>
                <w:caps w:val="0"/>
                <w:color w:val="0F1115"/>
                <w:spacing w:val="0"/>
                <w:kern w:val="0"/>
                <w:sz w:val="21"/>
                <w:szCs w:val="21"/>
                <w:lang w:val="en-US" w:eastAsia="zh-CN" w:bidi="ar"/>
              </w:rPr>
              <w:t>（</w:t>
            </w:r>
            <w:r>
              <w:rPr>
                <w:rFonts w:hint="default" w:ascii="Times New Roman" w:hAnsi="Times New Roman" w:eastAsia="仿宋_GB2312" w:cs="Segoe UI"/>
                <w:i w:val="0"/>
                <w:iCs w:val="0"/>
                <w:caps w:val="0"/>
                <w:color w:val="0F1115"/>
                <w:spacing w:val="0"/>
                <w:kern w:val="0"/>
                <w:sz w:val="21"/>
                <w:szCs w:val="21"/>
                <w:lang w:val="en-US" w:eastAsia="zh-CN" w:bidi="ar"/>
              </w:rPr>
              <w:t>集团</w:t>
            </w:r>
            <w:r>
              <w:rPr>
                <w:rFonts w:hint="eastAsia" w:ascii="Times New Roman" w:hAnsi="Times New Roman" w:eastAsia="仿宋_GB2312" w:cs="Segoe UI"/>
                <w:i w:val="0"/>
                <w:iCs w:val="0"/>
                <w:caps w:val="0"/>
                <w:color w:val="0F1115"/>
                <w:spacing w:val="0"/>
                <w:kern w:val="0"/>
                <w:sz w:val="21"/>
                <w:szCs w:val="21"/>
                <w:lang w:val="en-US" w:eastAsia="zh-CN" w:bidi="ar"/>
              </w:rPr>
              <w:t>）</w:t>
            </w:r>
            <w:r>
              <w:rPr>
                <w:rFonts w:hint="default" w:ascii="Times New Roman" w:hAnsi="Times New Roman" w:eastAsia="仿宋_GB2312" w:cs="Segoe UI"/>
                <w:i w:val="0"/>
                <w:iCs w:val="0"/>
                <w:caps w:val="0"/>
                <w:color w:val="0F1115"/>
                <w:spacing w:val="0"/>
                <w:kern w:val="0"/>
                <w:sz w:val="21"/>
                <w:szCs w:val="21"/>
                <w:lang w:val="en-US" w:eastAsia="zh-CN" w:bidi="ar"/>
              </w:rPr>
              <w:t>有限公司</w:t>
            </w:r>
          </w:p>
        </w:tc>
        <w:tc>
          <w:tcPr>
            <w:tcW w:w="1517" w:type="dxa"/>
            <w:shd w:val="clear" w:color="auto" w:fill="FFFFFF"/>
            <w:tcMar>
              <w:top w:w="150" w:type="dxa"/>
              <w:left w:w="240" w:type="dxa"/>
              <w:bottom w:w="150" w:type="dxa"/>
              <w:right w:w="240" w:type="dxa"/>
            </w:tcMar>
            <w:vAlign w:val="center"/>
          </w:tcPr>
          <w:p w14:paraId="3D36C4F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kern w:val="0"/>
                <w:sz w:val="21"/>
                <w:szCs w:val="21"/>
                <w:lang w:val="en-US" w:eastAsia="zh-CN" w:bidi="ar"/>
              </w:rPr>
            </w:pPr>
            <w:r>
              <w:rPr>
                <w:rFonts w:hint="eastAsia" w:ascii="Times New Roman" w:hAnsi="Times New Roman" w:eastAsia="仿宋_GB2312" w:cs="Segoe UI"/>
                <w:i w:val="0"/>
                <w:iCs w:val="0"/>
                <w:caps w:val="0"/>
                <w:color w:val="0F1115"/>
                <w:spacing w:val="0"/>
                <w:kern w:val="0"/>
                <w:sz w:val="21"/>
                <w:szCs w:val="21"/>
                <w:lang w:val="en-US" w:eastAsia="zh-CN" w:bidi="ar"/>
              </w:rPr>
              <w:t>公路工程</w:t>
            </w:r>
          </w:p>
        </w:tc>
        <w:tc>
          <w:tcPr>
            <w:tcW w:w="1380" w:type="dxa"/>
            <w:shd w:val="clear" w:color="auto" w:fill="FFFFFF"/>
            <w:tcMar>
              <w:top w:w="150" w:type="dxa"/>
              <w:left w:w="240" w:type="dxa"/>
              <w:bottom w:w="150" w:type="dxa"/>
              <w:right w:w="240" w:type="dxa"/>
            </w:tcMar>
            <w:vAlign w:val="center"/>
          </w:tcPr>
          <w:p w14:paraId="034547C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kern w:val="0"/>
                <w:sz w:val="21"/>
                <w:szCs w:val="21"/>
                <w:lang w:val="en-US" w:eastAsia="zh-CN" w:bidi="ar"/>
              </w:rPr>
            </w:pPr>
            <w:r>
              <w:rPr>
                <w:rFonts w:hint="eastAsia" w:ascii="Times New Roman" w:hAnsi="Times New Roman" w:eastAsia="仿宋_GB2312" w:cs="Segoe UI"/>
                <w:i w:val="0"/>
                <w:iCs w:val="0"/>
                <w:caps w:val="0"/>
                <w:color w:val="0F1115"/>
                <w:spacing w:val="0"/>
                <w:kern w:val="0"/>
                <w:sz w:val="21"/>
                <w:szCs w:val="21"/>
                <w:lang w:val="en-US" w:eastAsia="zh-CN" w:bidi="ar"/>
              </w:rPr>
              <w:t>正高</w:t>
            </w:r>
          </w:p>
        </w:tc>
        <w:tc>
          <w:tcPr>
            <w:tcW w:w="2240" w:type="dxa"/>
            <w:shd w:val="clear" w:color="auto" w:fill="FFFFFF"/>
            <w:tcMar>
              <w:top w:w="150" w:type="dxa"/>
              <w:left w:w="240" w:type="dxa"/>
              <w:bottom w:w="150" w:type="dxa"/>
              <w:right w:w="240" w:type="dxa"/>
            </w:tcMar>
            <w:vAlign w:val="center"/>
          </w:tcPr>
          <w:p w14:paraId="2A82835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sz w:val="21"/>
                <w:szCs w:val="21"/>
              </w:rPr>
            </w:pPr>
            <w:r>
              <w:rPr>
                <w:rStyle w:val="14"/>
                <w:rFonts w:hint="default" w:ascii="Times New Roman" w:hAnsi="Times New Roman" w:eastAsia="仿宋_GB2312" w:cs="Segoe UI"/>
                <w:b/>
                <w:bCs/>
                <w:i w:val="0"/>
                <w:iCs w:val="0"/>
                <w:caps w:val="0"/>
                <w:color w:val="0F1115"/>
                <w:spacing w:val="0"/>
                <w:kern w:val="0"/>
                <w:sz w:val="21"/>
                <w:szCs w:val="21"/>
                <w:lang w:val="en-US" w:eastAsia="zh-CN" w:bidi="ar"/>
              </w:rPr>
              <w:t>资料调研</w:t>
            </w:r>
            <w:r>
              <w:rPr>
                <w:rFonts w:hint="default" w:ascii="Times New Roman" w:hAnsi="Times New Roman" w:eastAsia="仿宋_GB2312" w:cs="Segoe UI"/>
                <w:i w:val="0"/>
                <w:iCs w:val="0"/>
                <w:caps w:val="0"/>
                <w:color w:val="0F1115"/>
                <w:spacing w:val="0"/>
                <w:kern w:val="0"/>
                <w:sz w:val="21"/>
                <w:szCs w:val="21"/>
                <w:lang w:val="en-US" w:eastAsia="zh-CN" w:bidi="ar"/>
              </w:rPr>
              <w:t>（降雨、地下水、支护结构监测点布设）；</w:t>
            </w:r>
            <w:r>
              <w:rPr>
                <w:rStyle w:val="14"/>
                <w:rFonts w:hint="default" w:ascii="Times New Roman" w:hAnsi="Times New Roman" w:eastAsia="仿宋_GB2312" w:cs="Segoe UI"/>
                <w:b/>
                <w:bCs/>
                <w:i w:val="0"/>
                <w:iCs w:val="0"/>
                <w:caps w:val="0"/>
                <w:color w:val="0F1115"/>
                <w:spacing w:val="0"/>
                <w:kern w:val="0"/>
                <w:sz w:val="21"/>
                <w:szCs w:val="21"/>
                <w:lang w:val="en-US" w:eastAsia="zh-CN" w:bidi="ar"/>
              </w:rPr>
              <w:t>条文编写</w:t>
            </w:r>
          </w:p>
        </w:tc>
      </w:tr>
      <w:tr w14:paraId="32BB7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1086" w:hRule="atLeast"/>
          <w:jc w:val="center"/>
        </w:trPr>
        <w:tc>
          <w:tcPr>
            <w:tcW w:w="712" w:type="dxa"/>
            <w:shd w:val="clear" w:color="auto" w:fill="FFFFFF"/>
            <w:tcMar>
              <w:top w:w="150" w:type="dxa"/>
              <w:left w:w="0" w:type="dxa"/>
              <w:bottom w:w="150" w:type="dxa"/>
              <w:right w:w="240" w:type="dxa"/>
            </w:tcMar>
            <w:vAlign w:val="center"/>
          </w:tcPr>
          <w:p w14:paraId="3D4A838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sz w:val="21"/>
                <w:szCs w:val="21"/>
              </w:rPr>
            </w:pPr>
            <w:r>
              <w:rPr>
                <w:rFonts w:hint="default" w:ascii="Times New Roman" w:hAnsi="Times New Roman" w:eastAsia="仿宋_GB2312" w:cs="Segoe UI"/>
                <w:i w:val="0"/>
                <w:iCs w:val="0"/>
                <w:caps w:val="0"/>
                <w:color w:val="0F1115"/>
                <w:spacing w:val="0"/>
                <w:kern w:val="0"/>
                <w:sz w:val="21"/>
                <w:szCs w:val="21"/>
                <w:lang w:val="en-US" w:eastAsia="zh-CN" w:bidi="ar"/>
              </w:rPr>
              <w:t>11</w:t>
            </w:r>
          </w:p>
        </w:tc>
        <w:tc>
          <w:tcPr>
            <w:tcW w:w="1193" w:type="dxa"/>
            <w:shd w:val="clear" w:color="auto" w:fill="FFFFFF"/>
            <w:tcMar>
              <w:top w:w="150" w:type="dxa"/>
              <w:left w:w="240" w:type="dxa"/>
              <w:bottom w:w="150" w:type="dxa"/>
              <w:right w:w="240" w:type="dxa"/>
            </w:tcMar>
            <w:vAlign w:val="center"/>
          </w:tcPr>
          <w:p w14:paraId="21A11C4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sz w:val="21"/>
                <w:szCs w:val="21"/>
              </w:rPr>
            </w:pPr>
            <w:r>
              <w:rPr>
                <w:rFonts w:hint="default" w:ascii="Times New Roman" w:hAnsi="Times New Roman" w:eastAsia="仿宋_GB2312" w:cs="Segoe UI"/>
                <w:i w:val="0"/>
                <w:iCs w:val="0"/>
                <w:caps w:val="0"/>
                <w:color w:val="0F1115"/>
                <w:spacing w:val="0"/>
                <w:kern w:val="0"/>
                <w:sz w:val="21"/>
                <w:szCs w:val="21"/>
                <w:lang w:val="en-US" w:eastAsia="zh-CN" w:bidi="ar"/>
              </w:rPr>
              <w:t>李金柱</w:t>
            </w:r>
          </w:p>
        </w:tc>
        <w:tc>
          <w:tcPr>
            <w:tcW w:w="2063" w:type="dxa"/>
            <w:shd w:val="clear" w:color="auto" w:fill="FFFFFF"/>
            <w:tcMar>
              <w:top w:w="150" w:type="dxa"/>
              <w:left w:w="240" w:type="dxa"/>
              <w:bottom w:w="150" w:type="dxa"/>
              <w:right w:w="240" w:type="dxa"/>
            </w:tcMar>
            <w:vAlign w:val="center"/>
          </w:tcPr>
          <w:p w14:paraId="7B437D5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sz w:val="21"/>
                <w:szCs w:val="21"/>
              </w:rPr>
            </w:pPr>
            <w:r>
              <w:rPr>
                <w:rFonts w:hint="default" w:ascii="Times New Roman" w:hAnsi="Times New Roman" w:eastAsia="仿宋_GB2312" w:cs="Segoe UI"/>
                <w:i w:val="0"/>
                <w:iCs w:val="0"/>
                <w:caps w:val="0"/>
                <w:color w:val="0F1115"/>
                <w:spacing w:val="0"/>
                <w:kern w:val="0"/>
                <w:sz w:val="21"/>
                <w:szCs w:val="21"/>
                <w:lang w:val="en-US" w:eastAsia="zh-CN" w:bidi="ar"/>
              </w:rPr>
              <w:t>浙江数智交院科技股份有限公司</w:t>
            </w:r>
          </w:p>
        </w:tc>
        <w:tc>
          <w:tcPr>
            <w:tcW w:w="1517" w:type="dxa"/>
            <w:shd w:val="clear" w:color="auto" w:fill="FFFFFF"/>
            <w:tcMar>
              <w:top w:w="150" w:type="dxa"/>
              <w:left w:w="240" w:type="dxa"/>
              <w:bottom w:w="150" w:type="dxa"/>
              <w:right w:w="240" w:type="dxa"/>
            </w:tcMar>
            <w:vAlign w:val="center"/>
          </w:tcPr>
          <w:p w14:paraId="3799F50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kern w:val="0"/>
                <w:sz w:val="21"/>
                <w:szCs w:val="21"/>
                <w:lang w:val="en-US" w:eastAsia="zh-CN" w:bidi="ar"/>
              </w:rPr>
            </w:pPr>
            <w:r>
              <w:rPr>
                <w:rFonts w:hint="eastAsia" w:ascii="Times New Roman" w:hAnsi="Times New Roman" w:eastAsia="仿宋_GB2312" w:cs="Segoe UI"/>
                <w:i w:val="0"/>
                <w:iCs w:val="0"/>
                <w:caps w:val="0"/>
                <w:color w:val="0F1115"/>
                <w:spacing w:val="0"/>
                <w:kern w:val="0"/>
                <w:sz w:val="21"/>
                <w:szCs w:val="21"/>
                <w:lang w:val="en-US" w:eastAsia="zh-CN" w:bidi="ar"/>
              </w:rPr>
              <w:t>公路工程</w:t>
            </w:r>
          </w:p>
        </w:tc>
        <w:tc>
          <w:tcPr>
            <w:tcW w:w="1380" w:type="dxa"/>
            <w:shd w:val="clear" w:color="auto" w:fill="FFFFFF"/>
            <w:tcMar>
              <w:top w:w="150" w:type="dxa"/>
              <w:left w:w="240" w:type="dxa"/>
              <w:bottom w:w="150" w:type="dxa"/>
              <w:right w:w="240" w:type="dxa"/>
            </w:tcMar>
            <w:vAlign w:val="center"/>
          </w:tcPr>
          <w:p w14:paraId="6DE671D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kern w:val="0"/>
                <w:sz w:val="21"/>
                <w:szCs w:val="21"/>
                <w:lang w:val="en-US" w:eastAsia="zh-CN" w:bidi="ar"/>
              </w:rPr>
            </w:pPr>
            <w:r>
              <w:rPr>
                <w:rFonts w:hint="eastAsia" w:ascii="Times New Roman" w:hAnsi="Times New Roman" w:eastAsia="仿宋_GB2312" w:cs="Segoe UI"/>
                <w:i w:val="0"/>
                <w:iCs w:val="0"/>
                <w:caps w:val="0"/>
                <w:color w:val="0F1115"/>
                <w:spacing w:val="0"/>
                <w:kern w:val="0"/>
                <w:sz w:val="21"/>
                <w:szCs w:val="21"/>
                <w:lang w:val="en-US" w:eastAsia="zh-CN" w:bidi="ar"/>
              </w:rPr>
              <w:t>正高</w:t>
            </w:r>
          </w:p>
        </w:tc>
        <w:tc>
          <w:tcPr>
            <w:tcW w:w="2240" w:type="dxa"/>
            <w:shd w:val="clear" w:color="auto" w:fill="FFFFFF"/>
            <w:tcMar>
              <w:top w:w="150" w:type="dxa"/>
              <w:left w:w="240" w:type="dxa"/>
              <w:bottom w:w="150" w:type="dxa"/>
              <w:right w:w="240" w:type="dxa"/>
            </w:tcMar>
            <w:vAlign w:val="center"/>
          </w:tcPr>
          <w:p w14:paraId="1C99920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sz w:val="21"/>
                <w:szCs w:val="21"/>
              </w:rPr>
            </w:pPr>
            <w:r>
              <w:rPr>
                <w:rStyle w:val="14"/>
                <w:rFonts w:hint="default" w:ascii="Times New Roman" w:hAnsi="Times New Roman" w:eastAsia="仿宋_GB2312" w:cs="Segoe UI"/>
                <w:b/>
                <w:bCs/>
                <w:i w:val="0"/>
                <w:iCs w:val="0"/>
                <w:caps w:val="0"/>
                <w:color w:val="0F1115"/>
                <w:spacing w:val="0"/>
                <w:kern w:val="0"/>
                <w:sz w:val="21"/>
                <w:szCs w:val="21"/>
                <w:lang w:val="en-US" w:eastAsia="zh-CN" w:bidi="ar"/>
              </w:rPr>
              <w:t>资料调研</w:t>
            </w:r>
            <w:r>
              <w:rPr>
                <w:rFonts w:hint="default" w:ascii="Times New Roman" w:hAnsi="Times New Roman" w:eastAsia="仿宋_GB2312" w:cs="Segoe UI"/>
                <w:i w:val="0"/>
                <w:iCs w:val="0"/>
                <w:caps w:val="0"/>
                <w:color w:val="0F1115"/>
                <w:spacing w:val="0"/>
                <w:kern w:val="0"/>
                <w:sz w:val="21"/>
                <w:szCs w:val="21"/>
                <w:lang w:val="en-US" w:eastAsia="zh-CN" w:bidi="ar"/>
              </w:rPr>
              <w:t>（监测频率、预警值设定相关文献）；</w:t>
            </w:r>
            <w:r>
              <w:rPr>
                <w:rStyle w:val="14"/>
                <w:rFonts w:hint="default" w:ascii="Times New Roman" w:hAnsi="Times New Roman" w:eastAsia="仿宋_GB2312" w:cs="Segoe UI"/>
                <w:b/>
                <w:bCs/>
                <w:i w:val="0"/>
                <w:iCs w:val="0"/>
                <w:caps w:val="0"/>
                <w:color w:val="0F1115"/>
                <w:spacing w:val="0"/>
                <w:kern w:val="0"/>
                <w:sz w:val="21"/>
                <w:szCs w:val="21"/>
                <w:lang w:val="en-US" w:eastAsia="zh-CN" w:bidi="ar"/>
              </w:rPr>
              <w:t>条文编写</w:t>
            </w:r>
          </w:p>
        </w:tc>
      </w:tr>
      <w:tr w14:paraId="1284E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086" w:hRule="atLeast"/>
          <w:jc w:val="center"/>
        </w:trPr>
        <w:tc>
          <w:tcPr>
            <w:tcW w:w="712" w:type="dxa"/>
            <w:shd w:val="clear" w:color="auto" w:fill="FFFFFF"/>
            <w:tcMar>
              <w:top w:w="150" w:type="dxa"/>
              <w:left w:w="0" w:type="dxa"/>
              <w:bottom w:w="150" w:type="dxa"/>
              <w:right w:w="240" w:type="dxa"/>
            </w:tcMar>
            <w:vAlign w:val="center"/>
          </w:tcPr>
          <w:p w14:paraId="285A18A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sz w:val="21"/>
                <w:szCs w:val="21"/>
              </w:rPr>
            </w:pPr>
            <w:r>
              <w:rPr>
                <w:rFonts w:hint="default" w:ascii="Times New Roman" w:hAnsi="Times New Roman" w:eastAsia="仿宋_GB2312" w:cs="Segoe UI"/>
                <w:i w:val="0"/>
                <w:iCs w:val="0"/>
                <w:caps w:val="0"/>
                <w:color w:val="0F1115"/>
                <w:spacing w:val="0"/>
                <w:kern w:val="0"/>
                <w:sz w:val="21"/>
                <w:szCs w:val="21"/>
                <w:lang w:val="en-US" w:eastAsia="zh-CN" w:bidi="ar"/>
              </w:rPr>
              <w:t>12</w:t>
            </w:r>
          </w:p>
        </w:tc>
        <w:tc>
          <w:tcPr>
            <w:tcW w:w="1193" w:type="dxa"/>
            <w:shd w:val="clear" w:color="auto" w:fill="FFFFFF"/>
            <w:tcMar>
              <w:top w:w="150" w:type="dxa"/>
              <w:left w:w="240" w:type="dxa"/>
              <w:bottom w:w="150" w:type="dxa"/>
              <w:right w:w="240" w:type="dxa"/>
            </w:tcMar>
            <w:vAlign w:val="center"/>
          </w:tcPr>
          <w:p w14:paraId="15A9410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sz w:val="21"/>
                <w:szCs w:val="21"/>
              </w:rPr>
            </w:pPr>
            <w:r>
              <w:rPr>
                <w:rFonts w:hint="default" w:ascii="Times New Roman" w:hAnsi="Times New Roman" w:eastAsia="仿宋_GB2312" w:cs="Segoe UI"/>
                <w:i w:val="0"/>
                <w:iCs w:val="0"/>
                <w:caps w:val="0"/>
                <w:color w:val="0F1115"/>
                <w:spacing w:val="0"/>
                <w:kern w:val="0"/>
                <w:sz w:val="21"/>
                <w:szCs w:val="21"/>
                <w:lang w:val="en-US" w:eastAsia="zh-CN" w:bidi="ar"/>
              </w:rPr>
              <w:t>徐剑</w:t>
            </w:r>
          </w:p>
        </w:tc>
        <w:tc>
          <w:tcPr>
            <w:tcW w:w="2063" w:type="dxa"/>
            <w:shd w:val="clear" w:color="auto" w:fill="FFFFFF"/>
            <w:tcMar>
              <w:top w:w="150" w:type="dxa"/>
              <w:left w:w="240" w:type="dxa"/>
              <w:bottom w:w="150" w:type="dxa"/>
              <w:right w:w="240" w:type="dxa"/>
            </w:tcMar>
            <w:vAlign w:val="center"/>
          </w:tcPr>
          <w:p w14:paraId="720B098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sz w:val="21"/>
                <w:szCs w:val="21"/>
              </w:rPr>
            </w:pPr>
            <w:r>
              <w:rPr>
                <w:rFonts w:hint="default" w:ascii="Times New Roman" w:hAnsi="Times New Roman" w:eastAsia="仿宋_GB2312" w:cs="Segoe UI"/>
                <w:i w:val="0"/>
                <w:iCs w:val="0"/>
                <w:caps w:val="0"/>
                <w:color w:val="0F1115"/>
                <w:spacing w:val="0"/>
                <w:kern w:val="0"/>
                <w:sz w:val="21"/>
                <w:szCs w:val="21"/>
                <w:lang w:val="en-US" w:eastAsia="zh-CN" w:bidi="ar"/>
              </w:rPr>
              <w:t>苏交科集团股份有限公司</w:t>
            </w:r>
          </w:p>
        </w:tc>
        <w:tc>
          <w:tcPr>
            <w:tcW w:w="1517" w:type="dxa"/>
            <w:shd w:val="clear" w:color="auto" w:fill="FFFFFF"/>
            <w:tcMar>
              <w:top w:w="150" w:type="dxa"/>
              <w:left w:w="240" w:type="dxa"/>
              <w:bottom w:w="150" w:type="dxa"/>
              <w:right w:w="240" w:type="dxa"/>
            </w:tcMar>
            <w:vAlign w:val="center"/>
          </w:tcPr>
          <w:p w14:paraId="6E928DD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kern w:val="0"/>
                <w:sz w:val="21"/>
                <w:szCs w:val="21"/>
                <w:lang w:val="en-US" w:eastAsia="zh-CN" w:bidi="ar"/>
              </w:rPr>
            </w:pPr>
            <w:r>
              <w:rPr>
                <w:rFonts w:hint="eastAsia" w:ascii="Times New Roman" w:hAnsi="Times New Roman" w:eastAsia="仿宋_GB2312" w:cs="Segoe UI"/>
                <w:i w:val="0"/>
                <w:iCs w:val="0"/>
                <w:caps w:val="0"/>
                <w:color w:val="0F1115"/>
                <w:spacing w:val="0"/>
                <w:kern w:val="0"/>
                <w:sz w:val="21"/>
                <w:szCs w:val="21"/>
                <w:lang w:val="en-US" w:eastAsia="zh-CN" w:bidi="ar"/>
              </w:rPr>
              <w:t>公路工程</w:t>
            </w:r>
          </w:p>
        </w:tc>
        <w:tc>
          <w:tcPr>
            <w:tcW w:w="1380" w:type="dxa"/>
            <w:shd w:val="clear" w:color="auto" w:fill="FFFFFF"/>
            <w:tcMar>
              <w:top w:w="150" w:type="dxa"/>
              <w:left w:w="240" w:type="dxa"/>
              <w:bottom w:w="150" w:type="dxa"/>
              <w:right w:w="240" w:type="dxa"/>
            </w:tcMar>
            <w:vAlign w:val="center"/>
          </w:tcPr>
          <w:p w14:paraId="62AD193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kern w:val="0"/>
                <w:sz w:val="21"/>
                <w:szCs w:val="21"/>
                <w:lang w:val="en-US" w:eastAsia="zh-CN" w:bidi="ar"/>
              </w:rPr>
            </w:pPr>
            <w:r>
              <w:rPr>
                <w:rFonts w:hint="eastAsia" w:ascii="Times New Roman" w:hAnsi="Times New Roman" w:eastAsia="仿宋_GB2312" w:cs="Segoe UI"/>
                <w:i w:val="0"/>
                <w:iCs w:val="0"/>
                <w:caps w:val="0"/>
                <w:color w:val="0F1115"/>
                <w:spacing w:val="0"/>
                <w:kern w:val="0"/>
                <w:sz w:val="21"/>
                <w:szCs w:val="21"/>
                <w:lang w:val="en-US" w:eastAsia="zh-CN" w:bidi="ar"/>
              </w:rPr>
              <w:t>副高</w:t>
            </w:r>
          </w:p>
        </w:tc>
        <w:tc>
          <w:tcPr>
            <w:tcW w:w="2240" w:type="dxa"/>
            <w:shd w:val="clear" w:color="auto" w:fill="FFFFFF"/>
            <w:tcMar>
              <w:top w:w="150" w:type="dxa"/>
              <w:left w:w="240" w:type="dxa"/>
              <w:bottom w:w="150" w:type="dxa"/>
              <w:right w:w="240" w:type="dxa"/>
            </w:tcMar>
            <w:vAlign w:val="center"/>
          </w:tcPr>
          <w:p w14:paraId="40C39D2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sz w:val="21"/>
                <w:szCs w:val="21"/>
              </w:rPr>
            </w:pPr>
            <w:r>
              <w:rPr>
                <w:rStyle w:val="14"/>
                <w:rFonts w:hint="default" w:ascii="Times New Roman" w:hAnsi="Times New Roman" w:eastAsia="仿宋_GB2312" w:cs="Segoe UI"/>
                <w:b/>
                <w:bCs/>
                <w:i w:val="0"/>
                <w:iCs w:val="0"/>
                <w:caps w:val="0"/>
                <w:color w:val="0F1115"/>
                <w:spacing w:val="0"/>
                <w:kern w:val="0"/>
                <w:sz w:val="21"/>
                <w:szCs w:val="21"/>
                <w:lang w:val="en-US" w:eastAsia="zh-CN" w:bidi="ar"/>
              </w:rPr>
              <w:t>工程调研</w:t>
            </w:r>
            <w:r>
              <w:rPr>
                <w:rFonts w:hint="default" w:ascii="Times New Roman" w:hAnsi="Times New Roman" w:eastAsia="仿宋_GB2312" w:cs="Segoe UI"/>
                <w:i w:val="0"/>
                <w:iCs w:val="0"/>
                <w:caps w:val="0"/>
                <w:color w:val="0F1115"/>
                <w:spacing w:val="0"/>
                <w:kern w:val="0"/>
                <w:sz w:val="21"/>
                <w:szCs w:val="21"/>
                <w:lang w:val="en-US" w:eastAsia="zh-CN" w:bidi="ar"/>
              </w:rPr>
              <w:t>（设备安装现场案例）；</w:t>
            </w:r>
            <w:r>
              <w:rPr>
                <w:rStyle w:val="14"/>
                <w:rFonts w:hint="default" w:ascii="Times New Roman" w:hAnsi="Times New Roman" w:eastAsia="仿宋_GB2312" w:cs="Segoe UI"/>
                <w:b/>
                <w:bCs/>
                <w:i w:val="0"/>
                <w:iCs w:val="0"/>
                <w:caps w:val="0"/>
                <w:color w:val="0F1115"/>
                <w:spacing w:val="0"/>
                <w:kern w:val="0"/>
                <w:sz w:val="21"/>
                <w:szCs w:val="21"/>
                <w:lang w:val="en-US" w:eastAsia="zh-CN" w:bidi="ar"/>
              </w:rPr>
              <w:t>条文编写</w:t>
            </w:r>
          </w:p>
        </w:tc>
      </w:tr>
      <w:tr w14:paraId="6A1D5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1086" w:hRule="atLeast"/>
          <w:jc w:val="center"/>
        </w:trPr>
        <w:tc>
          <w:tcPr>
            <w:tcW w:w="712" w:type="dxa"/>
            <w:shd w:val="clear" w:color="auto" w:fill="FFFFFF"/>
            <w:tcMar>
              <w:top w:w="150" w:type="dxa"/>
              <w:left w:w="0" w:type="dxa"/>
              <w:bottom w:w="150" w:type="dxa"/>
              <w:right w:w="240" w:type="dxa"/>
            </w:tcMar>
            <w:vAlign w:val="center"/>
          </w:tcPr>
          <w:p w14:paraId="6AD54A9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sz w:val="21"/>
                <w:szCs w:val="21"/>
              </w:rPr>
            </w:pPr>
            <w:r>
              <w:rPr>
                <w:rFonts w:hint="default" w:ascii="Times New Roman" w:hAnsi="Times New Roman" w:eastAsia="仿宋_GB2312" w:cs="Segoe UI"/>
                <w:i w:val="0"/>
                <w:iCs w:val="0"/>
                <w:caps w:val="0"/>
                <w:color w:val="0F1115"/>
                <w:spacing w:val="0"/>
                <w:kern w:val="0"/>
                <w:sz w:val="21"/>
                <w:szCs w:val="21"/>
                <w:lang w:val="en-US" w:eastAsia="zh-CN" w:bidi="ar"/>
              </w:rPr>
              <w:t>13</w:t>
            </w:r>
          </w:p>
        </w:tc>
        <w:tc>
          <w:tcPr>
            <w:tcW w:w="1193" w:type="dxa"/>
            <w:shd w:val="clear" w:color="auto" w:fill="FFFFFF"/>
            <w:tcMar>
              <w:top w:w="150" w:type="dxa"/>
              <w:left w:w="240" w:type="dxa"/>
              <w:bottom w:w="150" w:type="dxa"/>
              <w:right w:w="240" w:type="dxa"/>
            </w:tcMar>
            <w:vAlign w:val="center"/>
          </w:tcPr>
          <w:p w14:paraId="1FCB8AE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sz w:val="21"/>
                <w:szCs w:val="21"/>
              </w:rPr>
            </w:pPr>
            <w:r>
              <w:rPr>
                <w:rFonts w:hint="default" w:ascii="Times New Roman" w:hAnsi="Times New Roman" w:eastAsia="仿宋_GB2312" w:cs="Segoe UI"/>
                <w:i w:val="0"/>
                <w:iCs w:val="0"/>
                <w:caps w:val="0"/>
                <w:color w:val="0F1115"/>
                <w:spacing w:val="0"/>
                <w:kern w:val="0"/>
                <w:sz w:val="21"/>
                <w:szCs w:val="21"/>
                <w:lang w:val="en-US" w:eastAsia="zh-CN" w:bidi="ar"/>
              </w:rPr>
              <w:t>徐金鉴</w:t>
            </w:r>
          </w:p>
        </w:tc>
        <w:tc>
          <w:tcPr>
            <w:tcW w:w="2063" w:type="dxa"/>
            <w:shd w:val="clear" w:color="auto" w:fill="FFFFFF"/>
            <w:tcMar>
              <w:top w:w="150" w:type="dxa"/>
              <w:left w:w="240" w:type="dxa"/>
              <w:bottom w:w="150" w:type="dxa"/>
              <w:right w:w="240" w:type="dxa"/>
            </w:tcMar>
            <w:vAlign w:val="center"/>
          </w:tcPr>
          <w:p w14:paraId="725C528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sz w:val="21"/>
                <w:szCs w:val="21"/>
              </w:rPr>
            </w:pPr>
            <w:r>
              <w:rPr>
                <w:rFonts w:hint="default" w:ascii="Times New Roman" w:hAnsi="Times New Roman" w:eastAsia="仿宋_GB2312" w:cs="Segoe UI"/>
                <w:i w:val="0"/>
                <w:iCs w:val="0"/>
                <w:caps w:val="0"/>
                <w:color w:val="0F1115"/>
                <w:spacing w:val="0"/>
                <w:kern w:val="0"/>
                <w:sz w:val="21"/>
                <w:szCs w:val="21"/>
                <w:lang w:val="en-US" w:eastAsia="zh-CN" w:bidi="ar"/>
              </w:rPr>
              <w:t>南京大学</w:t>
            </w:r>
          </w:p>
        </w:tc>
        <w:tc>
          <w:tcPr>
            <w:tcW w:w="1517" w:type="dxa"/>
            <w:shd w:val="clear" w:color="auto" w:fill="FFFFFF"/>
            <w:tcMar>
              <w:top w:w="150" w:type="dxa"/>
              <w:left w:w="240" w:type="dxa"/>
              <w:bottom w:w="150" w:type="dxa"/>
              <w:right w:w="240" w:type="dxa"/>
            </w:tcMar>
            <w:vAlign w:val="center"/>
          </w:tcPr>
          <w:p w14:paraId="527AB8F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kern w:val="0"/>
                <w:sz w:val="21"/>
                <w:szCs w:val="21"/>
                <w:lang w:val="en-US" w:eastAsia="zh-CN" w:bidi="ar"/>
              </w:rPr>
            </w:pPr>
            <w:r>
              <w:rPr>
                <w:rFonts w:hint="eastAsia" w:ascii="Times New Roman" w:hAnsi="Times New Roman" w:eastAsia="仿宋_GB2312" w:cs="Segoe UI"/>
                <w:i w:val="0"/>
                <w:iCs w:val="0"/>
                <w:caps w:val="0"/>
                <w:color w:val="0F1115"/>
                <w:spacing w:val="0"/>
                <w:kern w:val="0"/>
                <w:sz w:val="21"/>
                <w:szCs w:val="21"/>
                <w:lang w:val="en-US" w:eastAsia="zh-CN" w:bidi="ar"/>
              </w:rPr>
              <w:t>岩土工程</w:t>
            </w:r>
          </w:p>
        </w:tc>
        <w:tc>
          <w:tcPr>
            <w:tcW w:w="1380" w:type="dxa"/>
            <w:shd w:val="clear" w:color="auto" w:fill="FFFFFF"/>
            <w:tcMar>
              <w:top w:w="150" w:type="dxa"/>
              <w:left w:w="240" w:type="dxa"/>
              <w:bottom w:w="150" w:type="dxa"/>
              <w:right w:w="240" w:type="dxa"/>
            </w:tcMar>
            <w:vAlign w:val="center"/>
          </w:tcPr>
          <w:p w14:paraId="10111F1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kern w:val="0"/>
                <w:sz w:val="21"/>
                <w:szCs w:val="21"/>
                <w:lang w:val="en-US" w:eastAsia="zh-CN" w:bidi="ar"/>
              </w:rPr>
            </w:pPr>
            <w:r>
              <w:rPr>
                <w:rFonts w:hint="eastAsia" w:ascii="Times New Roman" w:hAnsi="Times New Roman" w:eastAsia="仿宋_GB2312" w:cs="Segoe UI"/>
                <w:i w:val="0"/>
                <w:iCs w:val="0"/>
                <w:caps w:val="0"/>
                <w:color w:val="0F1115"/>
                <w:spacing w:val="0"/>
                <w:kern w:val="0"/>
                <w:sz w:val="21"/>
                <w:szCs w:val="21"/>
                <w:lang w:val="en-US" w:eastAsia="zh-CN" w:bidi="ar"/>
              </w:rPr>
              <w:t>博士后</w:t>
            </w:r>
          </w:p>
        </w:tc>
        <w:tc>
          <w:tcPr>
            <w:tcW w:w="2240" w:type="dxa"/>
            <w:shd w:val="clear" w:color="auto" w:fill="FFFFFF"/>
            <w:tcMar>
              <w:top w:w="150" w:type="dxa"/>
              <w:left w:w="240" w:type="dxa"/>
              <w:bottom w:w="150" w:type="dxa"/>
              <w:right w:w="240" w:type="dxa"/>
            </w:tcMar>
            <w:vAlign w:val="center"/>
          </w:tcPr>
          <w:p w14:paraId="77CDDE1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sz w:val="21"/>
                <w:szCs w:val="21"/>
              </w:rPr>
            </w:pPr>
            <w:r>
              <w:rPr>
                <w:rStyle w:val="14"/>
                <w:rFonts w:hint="default" w:ascii="Times New Roman" w:hAnsi="Times New Roman" w:eastAsia="仿宋_GB2312" w:cs="Segoe UI"/>
                <w:b/>
                <w:bCs/>
                <w:i w:val="0"/>
                <w:iCs w:val="0"/>
                <w:caps w:val="0"/>
                <w:color w:val="0F1115"/>
                <w:spacing w:val="0"/>
                <w:kern w:val="0"/>
                <w:sz w:val="21"/>
                <w:szCs w:val="21"/>
                <w:lang w:val="en-US" w:eastAsia="zh-CN" w:bidi="ar"/>
              </w:rPr>
              <w:t>资料调研</w:t>
            </w:r>
            <w:r>
              <w:rPr>
                <w:rFonts w:hint="default" w:ascii="Times New Roman" w:hAnsi="Times New Roman" w:eastAsia="仿宋_GB2312" w:cs="Segoe UI"/>
                <w:i w:val="0"/>
                <w:iCs w:val="0"/>
                <w:caps w:val="0"/>
                <w:color w:val="0F1115"/>
                <w:spacing w:val="0"/>
                <w:kern w:val="0"/>
                <w:sz w:val="21"/>
                <w:szCs w:val="21"/>
                <w:lang w:val="en-US" w:eastAsia="zh-CN" w:bidi="ar"/>
              </w:rPr>
              <w:t>（监测软件架构、功能需求）；</w:t>
            </w:r>
            <w:r>
              <w:rPr>
                <w:rStyle w:val="14"/>
                <w:rFonts w:hint="default" w:ascii="Times New Roman" w:hAnsi="Times New Roman" w:eastAsia="仿宋_GB2312" w:cs="Segoe UI"/>
                <w:b/>
                <w:bCs/>
                <w:i w:val="0"/>
                <w:iCs w:val="0"/>
                <w:caps w:val="0"/>
                <w:color w:val="0F1115"/>
                <w:spacing w:val="0"/>
                <w:kern w:val="0"/>
                <w:sz w:val="21"/>
                <w:szCs w:val="21"/>
                <w:lang w:val="en-US" w:eastAsia="zh-CN" w:bidi="ar"/>
              </w:rPr>
              <w:t>条文编写</w:t>
            </w:r>
          </w:p>
        </w:tc>
      </w:tr>
      <w:tr w14:paraId="255F7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1449" w:hRule="atLeast"/>
          <w:jc w:val="center"/>
        </w:trPr>
        <w:tc>
          <w:tcPr>
            <w:tcW w:w="712" w:type="dxa"/>
            <w:shd w:val="clear" w:color="auto" w:fill="FFFFFF"/>
            <w:tcMar>
              <w:top w:w="150" w:type="dxa"/>
              <w:left w:w="0" w:type="dxa"/>
              <w:bottom w:w="150" w:type="dxa"/>
              <w:right w:w="240" w:type="dxa"/>
            </w:tcMar>
            <w:vAlign w:val="center"/>
          </w:tcPr>
          <w:p w14:paraId="608B962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sz w:val="21"/>
                <w:szCs w:val="21"/>
              </w:rPr>
            </w:pPr>
            <w:r>
              <w:rPr>
                <w:rFonts w:hint="default" w:ascii="Times New Roman" w:hAnsi="Times New Roman" w:eastAsia="仿宋_GB2312" w:cs="Segoe UI"/>
                <w:i w:val="0"/>
                <w:iCs w:val="0"/>
                <w:caps w:val="0"/>
                <w:color w:val="0F1115"/>
                <w:spacing w:val="0"/>
                <w:kern w:val="0"/>
                <w:sz w:val="21"/>
                <w:szCs w:val="21"/>
                <w:lang w:val="en-US" w:eastAsia="zh-CN" w:bidi="ar"/>
              </w:rPr>
              <w:t>14</w:t>
            </w:r>
          </w:p>
        </w:tc>
        <w:tc>
          <w:tcPr>
            <w:tcW w:w="1193" w:type="dxa"/>
            <w:shd w:val="clear" w:color="auto" w:fill="FFFFFF"/>
            <w:tcMar>
              <w:top w:w="150" w:type="dxa"/>
              <w:left w:w="240" w:type="dxa"/>
              <w:bottom w:w="150" w:type="dxa"/>
              <w:right w:w="240" w:type="dxa"/>
            </w:tcMar>
            <w:vAlign w:val="center"/>
          </w:tcPr>
          <w:p w14:paraId="0EA4AB2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sz w:val="21"/>
                <w:szCs w:val="21"/>
              </w:rPr>
            </w:pPr>
            <w:r>
              <w:rPr>
                <w:rFonts w:hint="default" w:ascii="Times New Roman" w:hAnsi="Times New Roman" w:eastAsia="仿宋_GB2312" w:cs="Segoe UI"/>
                <w:i w:val="0"/>
                <w:iCs w:val="0"/>
                <w:caps w:val="0"/>
                <w:color w:val="0F1115"/>
                <w:spacing w:val="0"/>
                <w:kern w:val="0"/>
                <w:sz w:val="21"/>
                <w:szCs w:val="21"/>
                <w:lang w:val="en-US" w:eastAsia="zh-CN" w:bidi="ar"/>
              </w:rPr>
              <w:t>梁柱</w:t>
            </w:r>
          </w:p>
        </w:tc>
        <w:tc>
          <w:tcPr>
            <w:tcW w:w="2063" w:type="dxa"/>
            <w:shd w:val="clear" w:color="auto" w:fill="FFFFFF"/>
            <w:tcMar>
              <w:top w:w="150" w:type="dxa"/>
              <w:left w:w="240" w:type="dxa"/>
              <w:bottom w:w="150" w:type="dxa"/>
              <w:right w:w="240" w:type="dxa"/>
            </w:tcMar>
            <w:vAlign w:val="center"/>
          </w:tcPr>
          <w:p w14:paraId="2C3CA0F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sz w:val="21"/>
                <w:szCs w:val="21"/>
              </w:rPr>
            </w:pPr>
            <w:r>
              <w:rPr>
                <w:rFonts w:hint="default" w:ascii="Times New Roman" w:hAnsi="Times New Roman" w:eastAsia="仿宋_GB2312" w:cs="Segoe UI"/>
                <w:i w:val="0"/>
                <w:iCs w:val="0"/>
                <w:caps w:val="0"/>
                <w:color w:val="0F1115"/>
                <w:spacing w:val="0"/>
                <w:kern w:val="0"/>
                <w:sz w:val="21"/>
                <w:szCs w:val="21"/>
                <w:lang w:val="en-US" w:eastAsia="zh-CN" w:bidi="ar"/>
              </w:rPr>
              <w:t>安徽省交通规划设计研究总院股份有限公司</w:t>
            </w:r>
          </w:p>
        </w:tc>
        <w:tc>
          <w:tcPr>
            <w:tcW w:w="1517" w:type="dxa"/>
            <w:shd w:val="clear" w:color="auto" w:fill="FFFFFF"/>
            <w:tcMar>
              <w:top w:w="150" w:type="dxa"/>
              <w:left w:w="240" w:type="dxa"/>
              <w:bottom w:w="150" w:type="dxa"/>
              <w:right w:w="240" w:type="dxa"/>
            </w:tcMar>
            <w:vAlign w:val="center"/>
          </w:tcPr>
          <w:p w14:paraId="4D2DFA7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kern w:val="0"/>
                <w:sz w:val="21"/>
                <w:szCs w:val="21"/>
                <w:lang w:val="en-US" w:eastAsia="zh-CN" w:bidi="ar"/>
              </w:rPr>
            </w:pPr>
            <w:r>
              <w:rPr>
                <w:rFonts w:hint="eastAsia" w:ascii="Times New Roman" w:hAnsi="Times New Roman" w:eastAsia="仿宋_GB2312" w:cs="Segoe UI"/>
                <w:i w:val="0"/>
                <w:iCs w:val="0"/>
                <w:caps w:val="0"/>
                <w:color w:val="0F1115"/>
                <w:spacing w:val="0"/>
                <w:kern w:val="0"/>
                <w:sz w:val="21"/>
                <w:szCs w:val="21"/>
                <w:lang w:val="en-US" w:eastAsia="zh-CN" w:bidi="ar"/>
              </w:rPr>
              <w:t>公路工程</w:t>
            </w:r>
          </w:p>
        </w:tc>
        <w:tc>
          <w:tcPr>
            <w:tcW w:w="1380" w:type="dxa"/>
            <w:shd w:val="clear" w:color="auto" w:fill="FFFFFF"/>
            <w:tcMar>
              <w:top w:w="150" w:type="dxa"/>
              <w:left w:w="240" w:type="dxa"/>
              <w:bottom w:w="150" w:type="dxa"/>
              <w:right w:w="240" w:type="dxa"/>
            </w:tcMar>
            <w:vAlign w:val="center"/>
          </w:tcPr>
          <w:p w14:paraId="6BBB7D4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kern w:val="0"/>
                <w:sz w:val="21"/>
                <w:szCs w:val="21"/>
                <w:lang w:val="en-US" w:eastAsia="zh-CN" w:bidi="ar"/>
              </w:rPr>
            </w:pPr>
            <w:r>
              <w:rPr>
                <w:rFonts w:hint="eastAsia" w:ascii="Times New Roman" w:hAnsi="Times New Roman" w:eastAsia="仿宋_GB2312" w:cs="Segoe UI"/>
                <w:i w:val="0"/>
                <w:iCs w:val="0"/>
                <w:caps w:val="0"/>
                <w:color w:val="0F1115"/>
                <w:spacing w:val="0"/>
                <w:kern w:val="0"/>
                <w:sz w:val="21"/>
                <w:szCs w:val="21"/>
                <w:lang w:val="en-US" w:eastAsia="zh-CN" w:bidi="ar"/>
              </w:rPr>
              <w:t>正高</w:t>
            </w:r>
          </w:p>
        </w:tc>
        <w:tc>
          <w:tcPr>
            <w:tcW w:w="2240" w:type="dxa"/>
            <w:shd w:val="clear" w:color="auto" w:fill="FFFFFF"/>
            <w:tcMar>
              <w:top w:w="150" w:type="dxa"/>
              <w:left w:w="240" w:type="dxa"/>
              <w:bottom w:w="150" w:type="dxa"/>
              <w:right w:w="240" w:type="dxa"/>
            </w:tcMar>
            <w:vAlign w:val="center"/>
          </w:tcPr>
          <w:p w14:paraId="1794609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sz w:val="21"/>
                <w:szCs w:val="21"/>
              </w:rPr>
            </w:pPr>
            <w:r>
              <w:rPr>
                <w:rStyle w:val="14"/>
                <w:rFonts w:hint="default" w:ascii="Times New Roman" w:hAnsi="Times New Roman" w:eastAsia="仿宋_GB2312" w:cs="Segoe UI"/>
                <w:b/>
                <w:bCs/>
                <w:i w:val="0"/>
                <w:iCs w:val="0"/>
                <w:caps w:val="0"/>
                <w:color w:val="0F1115"/>
                <w:spacing w:val="0"/>
                <w:kern w:val="0"/>
                <w:sz w:val="21"/>
                <w:szCs w:val="21"/>
                <w:lang w:val="en-US" w:eastAsia="zh-CN" w:bidi="ar"/>
              </w:rPr>
              <w:t>资料调研</w:t>
            </w:r>
            <w:r>
              <w:rPr>
                <w:rFonts w:hint="default" w:ascii="Times New Roman" w:hAnsi="Times New Roman" w:eastAsia="仿宋_GB2312" w:cs="Segoe UI"/>
                <w:i w:val="0"/>
                <w:iCs w:val="0"/>
                <w:caps w:val="0"/>
                <w:color w:val="0F1115"/>
                <w:spacing w:val="0"/>
                <w:kern w:val="0"/>
                <w:sz w:val="21"/>
                <w:szCs w:val="21"/>
                <w:lang w:val="en-US" w:eastAsia="zh-CN" w:bidi="ar"/>
              </w:rPr>
              <w:t>（数据管理、分析方法）；</w:t>
            </w:r>
            <w:r>
              <w:rPr>
                <w:rStyle w:val="14"/>
                <w:rFonts w:hint="default" w:ascii="Times New Roman" w:hAnsi="Times New Roman" w:eastAsia="仿宋_GB2312" w:cs="Segoe UI"/>
                <w:b/>
                <w:bCs/>
                <w:i w:val="0"/>
                <w:iCs w:val="0"/>
                <w:caps w:val="0"/>
                <w:color w:val="0F1115"/>
                <w:spacing w:val="0"/>
                <w:kern w:val="0"/>
                <w:sz w:val="21"/>
                <w:szCs w:val="21"/>
                <w:lang w:val="en-US" w:eastAsia="zh-CN" w:bidi="ar"/>
              </w:rPr>
              <w:t>条文编写</w:t>
            </w:r>
          </w:p>
        </w:tc>
      </w:tr>
      <w:tr w14:paraId="7F1AB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1449" w:hRule="atLeast"/>
          <w:jc w:val="center"/>
        </w:trPr>
        <w:tc>
          <w:tcPr>
            <w:tcW w:w="712" w:type="dxa"/>
            <w:shd w:val="clear" w:color="auto" w:fill="FFFFFF"/>
            <w:tcMar>
              <w:top w:w="150" w:type="dxa"/>
              <w:left w:w="0" w:type="dxa"/>
              <w:bottom w:w="150" w:type="dxa"/>
              <w:right w:w="240" w:type="dxa"/>
            </w:tcMar>
            <w:vAlign w:val="center"/>
          </w:tcPr>
          <w:p w14:paraId="3828BB1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sz w:val="21"/>
                <w:szCs w:val="21"/>
              </w:rPr>
            </w:pPr>
            <w:r>
              <w:rPr>
                <w:rFonts w:hint="default" w:ascii="Times New Roman" w:hAnsi="Times New Roman" w:eastAsia="仿宋_GB2312" w:cs="Segoe UI"/>
                <w:i w:val="0"/>
                <w:iCs w:val="0"/>
                <w:caps w:val="0"/>
                <w:color w:val="0F1115"/>
                <w:spacing w:val="0"/>
                <w:kern w:val="0"/>
                <w:sz w:val="21"/>
                <w:szCs w:val="21"/>
                <w:lang w:val="en-US" w:eastAsia="zh-CN" w:bidi="ar"/>
              </w:rPr>
              <w:t>15</w:t>
            </w:r>
          </w:p>
        </w:tc>
        <w:tc>
          <w:tcPr>
            <w:tcW w:w="1193" w:type="dxa"/>
            <w:shd w:val="clear" w:color="auto" w:fill="FFFFFF"/>
            <w:tcMar>
              <w:top w:w="150" w:type="dxa"/>
              <w:left w:w="240" w:type="dxa"/>
              <w:bottom w:w="150" w:type="dxa"/>
              <w:right w:w="240" w:type="dxa"/>
            </w:tcMar>
            <w:vAlign w:val="center"/>
          </w:tcPr>
          <w:p w14:paraId="5E1F926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sz w:val="21"/>
                <w:szCs w:val="21"/>
              </w:rPr>
            </w:pPr>
            <w:r>
              <w:rPr>
                <w:rFonts w:hint="default" w:ascii="Times New Roman" w:hAnsi="Times New Roman" w:eastAsia="仿宋_GB2312" w:cs="Segoe UI"/>
                <w:i w:val="0"/>
                <w:iCs w:val="0"/>
                <w:caps w:val="0"/>
                <w:color w:val="0F1115"/>
                <w:spacing w:val="0"/>
                <w:kern w:val="0"/>
                <w:sz w:val="21"/>
                <w:szCs w:val="21"/>
                <w:lang w:val="en-US" w:eastAsia="zh-CN" w:bidi="ar"/>
              </w:rPr>
              <w:t>高品红</w:t>
            </w:r>
          </w:p>
        </w:tc>
        <w:tc>
          <w:tcPr>
            <w:tcW w:w="2063" w:type="dxa"/>
            <w:shd w:val="clear" w:color="auto" w:fill="FFFFFF"/>
            <w:tcMar>
              <w:top w:w="150" w:type="dxa"/>
              <w:left w:w="240" w:type="dxa"/>
              <w:bottom w:w="150" w:type="dxa"/>
              <w:right w:w="240" w:type="dxa"/>
            </w:tcMar>
            <w:vAlign w:val="center"/>
          </w:tcPr>
          <w:p w14:paraId="4F3BA3E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sz w:val="21"/>
                <w:szCs w:val="21"/>
              </w:rPr>
            </w:pPr>
            <w:r>
              <w:rPr>
                <w:rFonts w:hint="default" w:ascii="Times New Roman" w:hAnsi="Times New Roman" w:eastAsia="仿宋_GB2312" w:cs="Segoe UI"/>
                <w:i w:val="0"/>
                <w:iCs w:val="0"/>
                <w:caps w:val="0"/>
                <w:color w:val="0F1115"/>
                <w:spacing w:val="0"/>
                <w:kern w:val="0"/>
                <w:sz w:val="21"/>
                <w:szCs w:val="21"/>
                <w:lang w:val="en-US" w:eastAsia="zh-CN" w:bidi="ar"/>
              </w:rPr>
              <w:t>浙江华东岩土勘察设计研究院有限公司</w:t>
            </w:r>
          </w:p>
        </w:tc>
        <w:tc>
          <w:tcPr>
            <w:tcW w:w="1517" w:type="dxa"/>
            <w:shd w:val="clear" w:color="auto" w:fill="FFFFFF"/>
            <w:tcMar>
              <w:top w:w="150" w:type="dxa"/>
              <w:left w:w="240" w:type="dxa"/>
              <w:bottom w:w="150" w:type="dxa"/>
              <w:right w:w="240" w:type="dxa"/>
            </w:tcMar>
            <w:vAlign w:val="center"/>
          </w:tcPr>
          <w:p w14:paraId="7A6B50C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kern w:val="0"/>
                <w:sz w:val="21"/>
                <w:szCs w:val="21"/>
                <w:lang w:val="en-US" w:eastAsia="zh-CN" w:bidi="ar"/>
              </w:rPr>
            </w:pPr>
            <w:r>
              <w:rPr>
                <w:rFonts w:hint="eastAsia" w:ascii="Times New Roman" w:hAnsi="Times New Roman" w:eastAsia="仿宋_GB2312" w:cs="Segoe UI"/>
                <w:i w:val="0"/>
                <w:iCs w:val="0"/>
                <w:caps w:val="0"/>
                <w:color w:val="0F1115"/>
                <w:spacing w:val="0"/>
                <w:kern w:val="0"/>
                <w:sz w:val="21"/>
                <w:szCs w:val="21"/>
                <w:lang w:val="en-US" w:eastAsia="zh-CN" w:bidi="ar"/>
              </w:rPr>
              <w:t>公路工程</w:t>
            </w:r>
          </w:p>
        </w:tc>
        <w:tc>
          <w:tcPr>
            <w:tcW w:w="1380" w:type="dxa"/>
            <w:shd w:val="clear" w:color="auto" w:fill="FFFFFF"/>
            <w:tcMar>
              <w:top w:w="150" w:type="dxa"/>
              <w:left w:w="240" w:type="dxa"/>
              <w:bottom w:w="150" w:type="dxa"/>
              <w:right w:w="240" w:type="dxa"/>
            </w:tcMar>
            <w:vAlign w:val="center"/>
          </w:tcPr>
          <w:p w14:paraId="0BD1F41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kern w:val="0"/>
                <w:sz w:val="21"/>
                <w:szCs w:val="21"/>
                <w:lang w:val="en-US" w:eastAsia="zh-CN" w:bidi="ar"/>
              </w:rPr>
            </w:pPr>
            <w:r>
              <w:rPr>
                <w:rFonts w:hint="eastAsia" w:ascii="Times New Roman" w:hAnsi="Times New Roman" w:eastAsia="仿宋_GB2312" w:cs="Segoe UI"/>
                <w:i w:val="0"/>
                <w:iCs w:val="0"/>
                <w:caps w:val="0"/>
                <w:color w:val="0F1115"/>
                <w:spacing w:val="0"/>
                <w:kern w:val="0"/>
                <w:sz w:val="21"/>
                <w:szCs w:val="21"/>
                <w:lang w:val="en-US" w:eastAsia="zh-CN" w:bidi="ar"/>
              </w:rPr>
              <w:t>副高</w:t>
            </w:r>
          </w:p>
        </w:tc>
        <w:tc>
          <w:tcPr>
            <w:tcW w:w="2240" w:type="dxa"/>
            <w:shd w:val="clear" w:color="auto" w:fill="FFFFFF"/>
            <w:tcMar>
              <w:top w:w="150" w:type="dxa"/>
              <w:left w:w="240" w:type="dxa"/>
              <w:bottom w:w="150" w:type="dxa"/>
              <w:right w:w="240" w:type="dxa"/>
            </w:tcMar>
            <w:vAlign w:val="center"/>
          </w:tcPr>
          <w:p w14:paraId="05F217C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sz w:val="21"/>
                <w:szCs w:val="21"/>
              </w:rPr>
            </w:pPr>
            <w:r>
              <w:rPr>
                <w:rStyle w:val="14"/>
                <w:rFonts w:hint="default" w:ascii="Times New Roman" w:hAnsi="Times New Roman" w:eastAsia="仿宋_GB2312" w:cs="Segoe UI"/>
                <w:b/>
                <w:bCs/>
                <w:i w:val="0"/>
                <w:iCs w:val="0"/>
                <w:caps w:val="0"/>
                <w:color w:val="0F1115"/>
                <w:spacing w:val="0"/>
                <w:kern w:val="0"/>
                <w:sz w:val="21"/>
                <w:szCs w:val="21"/>
                <w:lang w:val="en-US" w:eastAsia="zh-CN" w:bidi="ar"/>
              </w:rPr>
              <w:t>资料调研</w:t>
            </w:r>
            <w:r>
              <w:rPr>
                <w:rFonts w:hint="default" w:ascii="Times New Roman" w:hAnsi="Times New Roman" w:eastAsia="仿宋_GB2312" w:cs="Segoe UI"/>
                <w:i w:val="0"/>
                <w:iCs w:val="0"/>
                <w:caps w:val="0"/>
                <w:color w:val="0F1115"/>
                <w:spacing w:val="0"/>
                <w:kern w:val="0"/>
                <w:sz w:val="21"/>
                <w:szCs w:val="21"/>
                <w:lang w:val="en-US" w:eastAsia="zh-CN" w:bidi="ar"/>
              </w:rPr>
              <w:t>（预警等级划分、处置流程）；</w:t>
            </w:r>
            <w:r>
              <w:rPr>
                <w:rStyle w:val="14"/>
                <w:rFonts w:hint="default" w:ascii="Times New Roman" w:hAnsi="Times New Roman" w:eastAsia="仿宋_GB2312" w:cs="Segoe UI"/>
                <w:b/>
                <w:bCs/>
                <w:i w:val="0"/>
                <w:iCs w:val="0"/>
                <w:caps w:val="0"/>
                <w:color w:val="0F1115"/>
                <w:spacing w:val="0"/>
                <w:kern w:val="0"/>
                <w:sz w:val="21"/>
                <w:szCs w:val="21"/>
                <w:lang w:val="en-US" w:eastAsia="zh-CN" w:bidi="ar"/>
              </w:rPr>
              <w:t>条文编写</w:t>
            </w:r>
          </w:p>
        </w:tc>
      </w:tr>
      <w:tr w14:paraId="76015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1086" w:hRule="atLeast"/>
          <w:jc w:val="center"/>
        </w:trPr>
        <w:tc>
          <w:tcPr>
            <w:tcW w:w="712" w:type="dxa"/>
            <w:shd w:val="clear" w:color="auto" w:fill="FFFFFF"/>
            <w:tcMar>
              <w:top w:w="150" w:type="dxa"/>
              <w:left w:w="0" w:type="dxa"/>
              <w:bottom w:w="150" w:type="dxa"/>
              <w:right w:w="240" w:type="dxa"/>
            </w:tcMar>
            <w:vAlign w:val="center"/>
          </w:tcPr>
          <w:p w14:paraId="0BCF82E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sz w:val="21"/>
                <w:szCs w:val="21"/>
              </w:rPr>
            </w:pPr>
            <w:r>
              <w:rPr>
                <w:rFonts w:hint="default" w:ascii="Times New Roman" w:hAnsi="Times New Roman" w:eastAsia="仿宋_GB2312" w:cs="Segoe UI"/>
                <w:i w:val="0"/>
                <w:iCs w:val="0"/>
                <w:caps w:val="0"/>
                <w:color w:val="0F1115"/>
                <w:spacing w:val="0"/>
                <w:kern w:val="0"/>
                <w:sz w:val="21"/>
                <w:szCs w:val="21"/>
                <w:lang w:val="en-US" w:eastAsia="zh-CN" w:bidi="ar"/>
              </w:rPr>
              <w:t>16</w:t>
            </w:r>
          </w:p>
        </w:tc>
        <w:tc>
          <w:tcPr>
            <w:tcW w:w="1193" w:type="dxa"/>
            <w:shd w:val="clear" w:color="auto" w:fill="FFFFFF"/>
            <w:tcMar>
              <w:top w:w="150" w:type="dxa"/>
              <w:left w:w="240" w:type="dxa"/>
              <w:bottom w:w="150" w:type="dxa"/>
              <w:right w:w="240" w:type="dxa"/>
            </w:tcMar>
            <w:vAlign w:val="center"/>
          </w:tcPr>
          <w:p w14:paraId="6D9F792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sz w:val="21"/>
                <w:szCs w:val="21"/>
              </w:rPr>
            </w:pPr>
            <w:r>
              <w:rPr>
                <w:rFonts w:hint="default" w:ascii="Times New Roman" w:hAnsi="Times New Roman" w:eastAsia="仿宋_GB2312" w:cs="Segoe UI"/>
                <w:i w:val="0"/>
                <w:iCs w:val="0"/>
                <w:caps w:val="0"/>
                <w:color w:val="0F1115"/>
                <w:spacing w:val="0"/>
                <w:kern w:val="0"/>
                <w:sz w:val="21"/>
                <w:szCs w:val="21"/>
                <w:lang w:val="en-US" w:eastAsia="zh-CN" w:bidi="ar"/>
              </w:rPr>
              <w:t>严鑫</w:t>
            </w:r>
          </w:p>
        </w:tc>
        <w:tc>
          <w:tcPr>
            <w:tcW w:w="2063" w:type="dxa"/>
            <w:shd w:val="clear" w:color="auto" w:fill="FFFFFF"/>
            <w:tcMar>
              <w:top w:w="150" w:type="dxa"/>
              <w:left w:w="240" w:type="dxa"/>
              <w:bottom w:w="150" w:type="dxa"/>
              <w:right w:w="240" w:type="dxa"/>
            </w:tcMar>
            <w:vAlign w:val="center"/>
          </w:tcPr>
          <w:p w14:paraId="75B3166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sz w:val="21"/>
                <w:szCs w:val="21"/>
              </w:rPr>
            </w:pPr>
            <w:r>
              <w:rPr>
                <w:rFonts w:hint="default" w:ascii="Times New Roman" w:hAnsi="Times New Roman" w:eastAsia="仿宋_GB2312" w:cs="Segoe UI"/>
                <w:i w:val="0"/>
                <w:iCs w:val="0"/>
                <w:caps w:val="0"/>
                <w:color w:val="0F1115"/>
                <w:spacing w:val="0"/>
                <w:kern w:val="0"/>
                <w:sz w:val="21"/>
                <w:szCs w:val="21"/>
                <w:lang w:val="en-US" w:eastAsia="zh-CN" w:bidi="ar"/>
              </w:rPr>
              <w:t>浙江省交通运输科学研究院</w:t>
            </w:r>
          </w:p>
        </w:tc>
        <w:tc>
          <w:tcPr>
            <w:tcW w:w="1517" w:type="dxa"/>
            <w:shd w:val="clear" w:color="auto" w:fill="FFFFFF"/>
            <w:tcMar>
              <w:top w:w="150" w:type="dxa"/>
              <w:left w:w="240" w:type="dxa"/>
              <w:bottom w:w="150" w:type="dxa"/>
              <w:right w:w="240" w:type="dxa"/>
            </w:tcMar>
            <w:vAlign w:val="center"/>
          </w:tcPr>
          <w:p w14:paraId="1ABBD8D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kern w:val="0"/>
                <w:sz w:val="21"/>
                <w:szCs w:val="21"/>
                <w:lang w:val="en-US" w:eastAsia="zh-CN" w:bidi="ar"/>
              </w:rPr>
            </w:pPr>
            <w:r>
              <w:rPr>
                <w:rFonts w:hint="eastAsia" w:ascii="Times New Roman" w:hAnsi="Times New Roman" w:eastAsia="仿宋_GB2312" w:cs="Segoe UI"/>
                <w:i w:val="0"/>
                <w:iCs w:val="0"/>
                <w:caps w:val="0"/>
                <w:color w:val="0F1115"/>
                <w:spacing w:val="0"/>
                <w:kern w:val="0"/>
                <w:sz w:val="21"/>
                <w:szCs w:val="21"/>
                <w:lang w:val="en-US" w:eastAsia="zh-CN" w:bidi="ar"/>
              </w:rPr>
              <w:t>公路工程</w:t>
            </w:r>
          </w:p>
        </w:tc>
        <w:tc>
          <w:tcPr>
            <w:tcW w:w="1380" w:type="dxa"/>
            <w:shd w:val="clear" w:color="auto" w:fill="FFFFFF"/>
            <w:tcMar>
              <w:top w:w="150" w:type="dxa"/>
              <w:left w:w="240" w:type="dxa"/>
              <w:bottom w:w="150" w:type="dxa"/>
              <w:right w:w="240" w:type="dxa"/>
            </w:tcMar>
            <w:vAlign w:val="center"/>
          </w:tcPr>
          <w:p w14:paraId="28CE38F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kern w:val="0"/>
                <w:sz w:val="21"/>
                <w:szCs w:val="21"/>
                <w:lang w:val="en-US" w:eastAsia="zh-CN" w:bidi="ar"/>
              </w:rPr>
            </w:pPr>
            <w:r>
              <w:rPr>
                <w:rFonts w:hint="eastAsia" w:ascii="Times New Roman" w:hAnsi="Times New Roman" w:eastAsia="仿宋_GB2312" w:cs="Segoe UI"/>
                <w:i w:val="0"/>
                <w:iCs w:val="0"/>
                <w:caps w:val="0"/>
                <w:color w:val="0F1115"/>
                <w:spacing w:val="0"/>
                <w:kern w:val="0"/>
                <w:sz w:val="21"/>
                <w:szCs w:val="21"/>
                <w:lang w:val="en-US" w:eastAsia="zh-CN" w:bidi="ar"/>
              </w:rPr>
              <w:t>副高</w:t>
            </w:r>
          </w:p>
        </w:tc>
        <w:tc>
          <w:tcPr>
            <w:tcW w:w="2240" w:type="dxa"/>
            <w:shd w:val="clear" w:color="auto" w:fill="FFFFFF"/>
            <w:tcMar>
              <w:top w:w="150" w:type="dxa"/>
              <w:left w:w="240" w:type="dxa"/>
              <w:bottom w:w="150" w:type="dxa"/>
              <w:right w:w="240" w:type="dxa"/>
            </w:tcMar>
            <w:vAlign w:val="center"/>
          </w:tcPr>
          <w:p w14:paraId="510CEF1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sz w:val="21"/>
                <w:szCs w:val="21"/>
              </w:rPr>
            </w:pPr>
            <w:r>
              <w:rPr>
                <w:rStyle w:val="14"/>
                <w:rFonts w:hint="default" w:ascii="Times New Roman" w:hAnsi="Times New Roman" w:eastAsia="仿宋_GB2312" w:cs="Segoe UI"/>
                <w:b/>
                <w:bCs/>
                <w:i w:val="0"/>
                <w:iCs w:val="0"/>
                <w:caps w:val="0"/>
                <w:color w:val="0F1115"/>
                <w:spacing w:val="0"/>
                <w:kern w:val="0"/>
                <w:sz w:val="21"/>
                <w:szCs w:val="21"/>
                <w:lang w:val="en-US" w:eastAsia="zh-CN" w:bidi="ar"/>
              </w:rPr>
              <w:t>工程调研</w:t>
            </w:r>
            <w:r>
              <w:rPr>
                <w:rFonts w:hint="default" w:ascii="Times New Roman" w:hAnsi="Times New Roman" w:eastAsia="仿宋_GB2312" w:cs="Segoe UI"/>
                <w:i w:val="0"/>
                <w:iCs w:val="0"/>
                <w:caps w:val="0"/>
                <w:color w:val="0F1115"/>
                <w:spacing w:val="0"/>
                <w:kern w:val="0"/>
                <w:sz w:val="21"/>
                <w:szCs w:val="21"/>
                <w:lang w:val="en-US" w:eastAsia="zh-CN" w:bidi="ar"/>
              </w:rPr>
              <w:t>（系统调试与验收案例）；</w:t>
            </w:r>
            <w:r>
              <w:rPr>
                <w:rStyle w:val="14"/>
                <w:rFonts w:hint="default" w:ascii="Times New Roman" w:hAnsi="Times New Roman" w:eastAsia="仿宋_GB2312" w:cs="Segoe UI"/>
                <w:b/>
                <w:bCs/>
                <w:i w:val="0"/>
                <w:iCs w:val="0"/>
                <w:caps w:val="0"/>
                <w:color w:val="0F1115"/>
                <w:spacing w:val="0"/>
                <w:kern w:val="0"/>
                <w:sz w:val="21"/>
                <w:szCs w:val="21"/>
                <w:lang w:val="en-US" w:eastAsia="zh-CN" w:bidi="ar"/>
              </w:rPr>
              <w:t>条文编写</w:t>
            </w:r>
          </w:p>
        </w:tc>
      </w:tr>
      <w:tr w14:paraId="418B5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1449" w:hRule="atLeast"/>
          <w:jc w:val="center"/>
        </w:trPr>
        <w:tc>
          <w:tcPr>
            <w:tcW w:w="712" w:type="dxa"/>
            <w:shd w:val="clear" w:color="auto" w:fill="FFFFFF"/>
            <w:tcMar>
              <w:top w:w="150" w:type="dxa"/>
              <w:left w:w="0" w:type="dxa"/>
              <w:bottom w:w="150" w:type="dxa"/>
              <w:right w:w="240" w:type="dxa"/>
            </w:tcMar>
            <w:vAlign w:val="center"/>
          </w:tcPr>
          <w:p w14:paraId="66618FF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sz w:val="21"/>
                <w:szCs w:val="21"/>
              </w:rPr>
            </w:pPr>
            <w:r>
              <w:rPr>
                <w:rFonts w:hint="default" w:ascii="Times New Roman" w:hAnsi="Times New Roman" w:eastAsia="仿宋_GB2312" w:cs="Segoe UI"/>
                <w:i w:val="0"/>
                <w:iCs w:val="0"/>
                <w:caps w:val="0"/>
                <w:color w:val="0F1115"/>
                <w:spacing w:val="0"/>
                <w:kern w:val="0"/>
                <w:sz w:val="21"/>
                <w:szCs w:val="21"/>
                <w:lang w:val="en-US" w:eastAsia="zh-CN" w:bidi="ar"/>
              </w:rPr>
              <w:t>17</w:t>
            </w:r>
          </w:p>
        </w:tc>
        <w:tc>
          <w:tcPr>
            <w:tcW w:w="1193" w:type="dxa"/>
            <w:shd w:val="clear" w:color="auto" w:fill="FFFFFF"/>
            <w:tcMar>
              <w:top w:w="150" w:type="dxa"/>
              <w:left w:w="240" w:type="dxa"/>
              <w:bottom w:w="150" w:type="dxa"/>
              <w:right w:w="240" w:type="dxa"/>
            </w:tcMar>
            <w:vAlign w:val="center"/>
          </w:tcPr>
          <w:p w14:paraId="685B450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sz w:val="21"/>
                <w:szCs w:val="21"/>
              </w:rPr>
            </w:pPr>
            <w:r>
              <w:rPr>
                <w:rFonts w:hint="default" w:ascii="Times New Roman" w:hAnsi="Times New Roman" w:eastAsia="仿宋_GB2312" w:cs="Segoe UI"/>
                <w:i w:val="0"/>
                <w:iCs w:val="0"/>
                <w:caps w:val="0"/>
                <w:color w:val="0F1115"/>
                <w:spacing w:val="0"/>
                <w:kern w:val="0"/>
                <w:sz w:val="21"/>
                <w:szCs w:val="21"/>
                <w:lang w:val="en-US" w:eastAsia="zh-CN" w:bidi="ar"/>
              </w:rPr>
              <w:t>温广军</w:t>
            </w:r>
          </w:p>
        </w:tc>
        <w:tc>
          <w:tcPr>
            <w:tcW w:w="2063" w:type="dxa"/>
            <w:shd w:val="clear" w:color="auto" w:fill="FFFFFF"/>
            <w:tcMar>
              <w:top w:w="150" w:type="dxa"/>
              <w:left w:w="240" w:type="dxa"/>
              <w:bottom w:w="150" w:type="dxa"/>
              <w:right w:w="240" w:type="dxa"/>
            </w:tcMar>
            <w:vAlign w:val="center"/>
          </w:tcPr>
          <w:p w14:paraId="731B6FE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sz w:val="21"/>
                <w:szCs w:val="21"/>
              </w:rPr>
            </w:pPr>
            <w:r>
              <w:rPr>
                <w:rFonts w:hint="default" w:ascii="Times New Roman" w:hAnsi="Times New Roman" w:eastAsia="仿宋_GB2312" w:cs="Segoe UI"/>
                <w:i w:val="0"/>
                <w:iCs w:val="0"/>
                <w:caps w:val="0"/>
                <w:color w:val="0F1115"/>
                <w:spacing w:val="0"/>
                <w:kern w:val="0"/>
                <w:sz w:val="21"/>
                <w:szCs w:val="21"/>
                <w:lang w:val="en-US" w:eastAsia="zh-CN" w:bidi="ar"/>
              </w:rPr>
              <w:t>安徽省交通规划设计研究总院股份有限公司</w:t>
            </w:r>
          </w:p>
        </w:tc>
        <w:tc>
          <w:tcPr>
            <w:tcW w:w="1517" w:type="dxa"/>
            <w:shd w:val="clear" w:color="auto" w:fill="FFFFFF"/>
            <w:tcMar>
              <w:top w:w="150" w:type="dxa"/>
              <w:left w:w="240" w:type="dxa"/>
              <w:bottom w:w="150" w:type="dxa"/>
              <w:right w:w="240" w:type="dxa"/>
            </w:tcMar>
            <w:vAlign w:val="center"/>
          </w:tcPr>
          <w:p w14:paraId="5483110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kern w:val="0"/>
                <w:sz w:val="21"/>
                <w:szCs w:val="21"/>
                <w:lang w:val="en-US" w:eastAsia="zh-CN" w:bidi="ar"/>
              </w:rPr>
            </w:pPr>
            <w:r>
              <w:rPr>
                <w:rFonts w:hint="eastAsia" w:ascii="Times New Roman" w:hAnsi="Times New Roman" w:eastAsia="仿宋_GB2312" w:cs="Segoe UI"/>
                <w:i w:val="0"/>
                <w:iCs w:val="0"/>
                <w:caps w:val="0"/>
                <w:color w:val="0F1115"/>
                <w:spacing w:val="0"/>
                <w:kern w:val="0"/>
                <w:sz w:val="21"/>
                <w:szCs w:val="21"/>
                <w:lang w:val="en-US" w:eastAsia="zh-CN" w:bidi="ar"/>
              </w:rPr>
              <w:t>岩土工程</w:t>
            </w:r>
          </w:p>
        </w:tc>
        <w:tc>
          <w:tcPr>
            <w:tcW w:w="1380" w:type="dxa"/>
            <w:shd w:val="clear" w:color="auto" w:fill="FFFFFF"/>
            <w:tcMar>
              <w:top w:w="150" w:type="dxa"/>
              <w:left w:w="240" w:type="dxa"/>
              <w:bottom w:w="150" w:type="dxa"/>
              <w:right w:w="240" w:type="dxa"/>
            </w:tcMar>
            <w:vAlign w:val="center"/>
          </w:tcPr>
          <w:p w14:paraId="67ED676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kern w:val="0"/>
                <w:sz w:val="21"/>
                <w:szCs w:val="21"/>
                <w:lang w:val="en-US" w:eastAsia="zh-CN" w:bidi="ar"/>
              </w:rPr>
            </w:pPr>
            <w:r>
              <w:rPr>
                <w:rFonts w:hint="eastAsia" w:ascii="Times New Roman" w:hAnsi="Times New Roman" w:eastAsia="仿宋_GB2312" w:cs="Segoe UI"/>
                <w:i w:val="0"/>
                <w:iCs w:val="0"/>
                <w:caps w:val="0"/>
                <w:color w:val="0F1115"/>
                <w:spacing w:val="0"/>
                <w:kern w:val="0"/>
                <w:sz w:val="21"/>
                <w:szCs w:val="21"/>
                <w:lang w:val="en-US" w:eastAsia="zh-CN" w:bidi="ar"/>
              </w:rPr>
              <w:t>正高</w:t>
            </w:r>
          </w:p>
        </w:tc>
        <w:tc>
          <w:tcPr>
            <w:tcW w:w="2240" w:type="dxa"/>
            <w:shd w:val="clear" w:color="auto" w:fill="FFFFFF"/>
            <w:tcMar>
              <w:top w:w="150" w:type="dxa"/>
              <w:left w:w="240" w:type="dxa"/>
              <w:bottom w:w="150" w:type="dxa"/>
              <w:right w:w="240" w:type="dxa"/>
            </w:tcMar>
            <w:vAlign w:val="center"/>
          </w:tcPr>
          <w:p w14:paraId="6FC21F7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sz w:val="21"/>
                <w:szCs w:val="21"/>
              </w:rPr>
            </w:pPr>
            <w:r>
              <w:rPr>
                <w:rStyle w:val="14"/>
                <w:rFonts w:hint="default" w:ascii="Times New Roman" w:hAnsi="Times New Roman" w:eastAsia="仿宋_GB2312" w:cs="Segoe UI"/>
                <w:b/>
                <w:bCs/>
                <w:i w:val="0"/>
                <w:iCs w:val="0"/>
                <w:caps w:val="0"/>
                <w:color w:val="0F1115"/>
                <w:spacing w:val="0"/>
                <w:kern w:val="0"/>
                <w:sz w:val="21"/>
                <w:szCs w:val="21"/>
                <w:lang w:val="en-US" w:eastAsia="zh-CN" w:bidi="ar"/>
              </w:rPr>
              <w:t>资料调研</w:t>
            </w:r>
            <w:r>
              <w:rPr>
                <w:rFonts w:hint="default" w:ascii="Times New Roman" w:hAnsi="Times New Roman" w:eastAsia="仿宋_GB2312" w:cs="Segoe UI"/>
                <w:i w:val="0"/>
                <w:iCs w:val="0"/>
                <w:caps w:val="0"/>
                <w:color w:val="0F1115"/>
                <w:spacing w:val="0"/>
                <w:kern w:val="0"/>
                <w:sz w:val="21"/>
                <w:szCs w:val="21"/>
                <w:lang w:val="en-US" w:eastAsia="zh-CN" w:bidi="ar"/>
              </w:rPr>
              <w:t>（系统运维要求、巡检周期）；</w:t>
            </w:r>
            <w:r>
              <w:rPr>
                <w:rStyle w:val="14"/>
                <w:rFonts w:hint="default" w:ascii="Times New Roman" w:hAnsi="Times New Roman" w:eastAsia="仿宋_GB2312" w:cs="Segoe UI"/>
                <w:b/>
                <w:bCs/>
                <w:i w:val="0"/>
                <w:iCs w:val="0"/>
                <w:caps w:val="0"/>
                <w:color w:val="0F1115"/>
                <w:spacing w:val="0"/>
                <w:kern w:val="0"/>
                <w:sz w:val="21"/>
                <w:szCs w:val="21"/>
                <w:lang w:val="en-US" w:eastAsia="zh-CN" w:bidi="ar"/>
              </w:rPr>
              <w:t>条文编写</w:t>
            </w:r>
          </w:p>
        </w:tc>
      </w:tr>
      <w:tr w14:paraId="57CA4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1449" w:hRule="atLeast"/>
          <w:jc w:val="center"/>
        </w:trPr>
        <w:tc>
          <w:tcPr>
            <w:tcW w:w="712" w:type="dxa"/>
            <w:shd w:val="clear" w:color="auto" w:fill="FFFFFF"/>
            <w:tcMar>
              <w:top w:w="150" w:type="dxa"/>
              <w:left w:w="0" w:type="dxa"/>
              <w:bottom w:w="150" w:type="dxa"/>
              <w:right w:w="240" w:type="dxa"/>
            </w:tcMar>
            <w:vAlign w:val="center"/>
          </w:tcPr>
          <w:p w14:paraId="219E70D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sz w:val="21"/>
                <w:szCs w:val="21"/>
              </w:rPr>
            </w:pPr>
            <w:r>
              <w:rPr>
                <w:rFonts w:hint="default" w:ascii="Times New Roman" w:hAnsi="Times New Roman" w:eastAsia="仿宋_GB2312" w:cs="Segoe UI"/>
                <w:i w:val="0"/>
                <w:iCs w:val="0"/>
                <w:caps w:val="0"/>
                <w:color w:val="0F1115"/>
                <w:spacing w:val="0"/>
                <w:kern w:val="0"/>
                <w:sz w:val="21"/>
                <w:szCs w:val="21"/>
                <w:lang w:val="en-US" w:eastAsia="zh-CN" w:bidi="ar"/>
              </w:rPr>
              <w:t>18</w:t>
            </w:r>
          </w:p>
        </w:tc>
        <w:tc>
          <w:tcPr>
            <w:tcW w:w="1193" w:type="dxa"/>
            <w:shd w:val="clear" w:color="auto" w:fill="FFFFFF"/>
            <w:tcMar>
              <w:top w:w="150" w:type="dxa"/>
              <w:left w:w="240" w:type="dxa"/>
              <w:bottom w:w="150" w:type="dxa"/>
              <w:right w:w="240" w:type="dxa"/>
            </w:tcMar>
            <w:vAlign w:val="center"/>
          </w:tcPr>
          <w:p w14:paraId="6368076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sz w:val="21"/>
                <w:szCs w:val="21"/>
              </w:rPr>
            </w:pPr>
            <w:r>
              <w:rPr>
                <w:rFonts w:hint="default" w:ascii="Times New Roman" w:hAnsi="Times New Roman" w:eastAsia="仿宋_GB2312" w:cs="Segoe UI"/>
                <w:i w:val="0"/>
                <w:iCs w:val="0"/>
                <w:caps w:val="0"/>
                <w:color w:val="0F1115"/>
                <w:spacing w:val="0"/>
                <w:kern w:val="0"/>
                <w:sz w:val="21"/>
                <w:szCs w:val="21"/>
                <w:lang w:val="en-US" w:eastAsia="zh-CN" w:bidi="ar"/>
              </w:rPr>
              <w:t>赵华宏</w:t>
            </w:r>
          </w:p>
        </w:tc>
        <w:tc>
          <w:tcPr>
            <w:tcW w:w="2063" w:type="dxa"/>
            <w:shd w:val="clear" w:color="auto" w:fill="FFFFFF"/>
            <w:tcMar>
              <w:top w:w="150" w:type="dxa"/>
              <w:left w:w="240" w:type="dxa"/>
              <w:bottom w:w="150" w:type="dxa"/>
              <w:right w:w="240" w:type="dxa"/>
            </w:tcMar>
            <w:vAlign w:val="center"/>
          </w:tcPr>
          <w:p w14:paraId="4DA43ED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sz w:val="21"/>
                <w:szCs w:val="21"/>
              </w:rPr>
            </w:pPr>
            <w:r>
              <w:rPr>
                <w:rFonts w:hint="default" w:ascii="Times New Roman" w:hAnsi="Times New Roman" w:eastAsia="仿宋_GB2312" w:cs="Segoe UI"/>
                <w:i w:val="0"/>
                <w:iCs w:val="0"/>
                <w:caps w:val="0"/>
                <w:color w:val="0F1115"/>
                <w:spacing w:val="0"/>
                <w:kern w:val="0"/>
                <w:sz w:val="21"/>
                <w:szCs w:val="21"/>
                <w:lang w:val="en-US" w:eastAsia="zh-CN" w:bidi="ar"/>
              </w:rPr>
              <w:t>安徽省交通规划设计研究总院股份有限公司</w:t>
            </w:r>
          </w:p>
        </w:tc>
        <w:tc>
          <w:tcPr>
            <w:tcW w:w="1517" w:type="dxa"/>
            <w:shd w:val="clear" w:color="auto" w:fill="FFFFFF"/>
            <w:tcMar>
              <w:top w:w="150" w:type="dxa"/>
              <w:left w:w="240" w:type="dxa"/>
              <w:bottom w:w="150" w:type="dxa"/>
              <w:right w:w="240" w:type="dxa"/>
            </w:tcMar>
            <w:vAlign w:val="center"/>
          </w:tcPr>
          <w:p w14:paraId="3256C39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kern w:val="0"/>
                <w:sz w:val="21"/>
                <w:szCs w:val="21"/>
                <w:lang w:val="en-US" w:eastAsia="zh-CN" w:bidi="ar"/>
              </w:rPr>
            </w:pPr>
            <w:r>
              <w:rPr>
                <w:rFonts w:hint="eastAsia" w:ascii="Times New Roman" w:hAnsi="Times New Roman" w:eastAsia="仿宋_GB2312" w:cs="Segoe UI"/>
                <w:i w:val="0"/>
                <w:iCs w:val="0"/>
                <w:caps w:val="0"/>
                <w:color w:val="0F1115"/>
                <w:spacing w:val="0"/>
                <w:kern w:val="0"/>
                <w:sz w:val="21"/>
                <w:szCs w:val="21"/>
                <w:lang w:val="en-US" w:eastAsia="zh-CN" w:bidi="ar"/>
              </w:rPr>
              <w:t>地质工程</w:t>
            </w:r>
          </w:p>
        </w:tc>
        <w:tc>
          <w:tcPr>
            <w:tcW w:w="1380" w:type="dxa"/>
            <w:shd w:val="clear" w:color="auto" w:fill="FFFFFF"/>
            <w:tcMar>
              <w:top w:w="150" w:type="dxa"/>
              <w:left w:w="240" w:type="dxa"/>
              <w:bottom w:w="150" w:type="dxa"/>
              <w:right w:w="240" w:type="dxa"/>
            </w:tcMar>
            <w:vAlign w:val="center"/>
          </w:tcPr>
          <w:p w14:paraId="2C8CF5C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kern w:val="0"/>
                <w:sz w:val="21"/>
                <w:szCs w:val="21"/>
                <w:lang w:val="en-US" w:eastAsia="zh-CN" w:bidi="ar"/>
              </w:rPr>
            </w:pPr>
            <w:r>
              <w:rPr>
                <w:rFonts w:hint="eastAsia" w:ascii="Times New Roman" w:hAnsi="Times New Roman" w:eastAsia="仿宋_GB2312" w:cs="Segoe UI"/>
                <w:i w:val="0"/>
                <w:iCs w:val="0"/>
                <w:caps w:val="0"/>
                <w:color w:val="0F1115"/>
                <w:spacing w:val="0"/>
                <w:kern w:val="0"/>
                <w:sz w:val="21"/>
                <w:szCs w:val="21"/>
                <w:lang w:val="en-US" w:eastAsia="zh-CN" w:bidi="ar"/>
              </w:rPr>
              <w:t>正高</w:t>
            </w:r>
          </w:p>
        </w:tc>
        <w:tc>
          <w:tcPr>
            <w:tcW w:w="2240" w:type="dxa"/>
            <w:shd w:val="clear" w:color="auto" w:fill="FFFFFF"/>
            <w:tcMar>
              <w:top w:w="150" w:type="dxa"/>
              <w:left w:w="240" w:type="dxa"/>
              <w:bottom w:w="150" w:type="dxa"/>
              <w:right w:w="240" w:type="dxa"/>
            </w:tcMar>
            <w:vAlign w:val="center"/>
          </w:tcPr>
          <w:p w14:paraId="783EC13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sz w:val="21"/>
                <w:szCs w:val="21"/>
              </w:rPr>
            </w:pPr>
            <w:r>
              <w:rPr>
                <w:rStyle w:val="14"/>
                <w:rFonts w:hint="default" w:ascii="Times New Roman" w:hAnsi="Times New Roman" w:eastAsia="仿宋_GB2312" w:cs="Segoe UI"/>
                <w:b/>
                <w:bCs/>
                <w:i w:val="0"/>
                <w:iCs w:val="0"/>
                <w:caps w:val="0"/>
                <w:color w:val="0F1115"/>
                <w:spacing w:val="0"/>
                <w:kern w:val="0"/>
                <w:sz w:val="21"/>
                <w:szCs w:val="21"/>
                <w:lang w:val="en-US" w:eastAsia="zh-CN" w:bidi="ar"/>
              </w:rPr>
              <w:t>资料调研</w:t>
            </w:r>
            <w:r>
              <w:rPr>
                <w:rFonts w:hint="default" w:ascii="Times New Roman" w:hAnsi="Times New Roman" w:eastAsia="仿宋_GB2312" w:cs="Segoe UI"/>
                <w:i w:val="0"/>
                <w:iCs w:val="0"/>
                <w:caps w:val="0"/>
                <w:color w:val="0F1115"/>
                <w:spacing w:val="0"/>
                <w:kern w:val="0"/>
                <w:sz w:val="21"/>
                <w:szCs w:val="21"/>
                <w:lang w:val="en-US" w:eastAsia="zh-CN" w:bidi="ar"/>
              </w:rPr>
              <w:t>（边坡分级相关标准）；</w:t>
            </w:r>
            <w:r>
              <w:rPr>
                <w:rStyle w:val="14"/>
                <w:rFonts w:hint="default" w:ascii="Times New Roman" w:hAnsi="Times New Roman" w:eastAsia="仿宋_GB2312" w:cs="Segoe UI"/>
                <w:b/>
                <w:bCs/>
                <w:i w:val="0"/>
                <w:iCs w:val="0"/>
                <w:caps w:val="0"/>
                <w:color w:val="0F1115"/>
                <w:spacing w:val="0"/>
                <w:kern w:val="0"/>
                <w:sz w:val="21"/>
                <w:szCs w:val="21"/>
                <w:lang w:val="en-US" w:eastAsia="zh-CN" w:bidi="ar"/>
              </w:rPr>
              <w:t>条文编写</w:t>
            </w:r>
          </w:p>
        </w:tc>
      </w:tr>
      <w:tr w14:paraId="780B2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1086" w:hRule="atLeast"/>
          <w:jc w:val="center"/>
        </w:trPr>
        <w:tc>
          <w:tcPr>
            <w:tcW w:w="712" w:type="dxa"/>
            <w:shd w:val="clear" w:color="auto" w:fill="FFFFFF"/>
            <w:tcMar>
              <w:top w:w="150" w:type="dxa"/>
              <w:left w:w="0" w:type="dxa"/>
              <w:bottom w:w="150" w:type="dxa"/>
              <w:right w:w="240" w:type="dxa"/>
            </w:tcMar>
            <w:vAlign w:val="center"/>
          </w:tcPr>
          <w:p w14:paraId="0524489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sz w:val="21"/>
                <w:szCs w:val="21"/>
              </w:rPr>
            </w:pPr>
            <w:r>
              <w:rPr>
                <w:rFonts w:hint="default" w:ascii="Times New Roman" w:hAnsi="Times New Roman" w:eastAsia="仿宋_GB2312" w:cs="Segoe UI"/>
                <w:i w:val="0"/>
                <w:iCs w:val="0"/>
                <w:caps w:val="0"/>
                <w:color w:val="0F1115"/>
                <w:spacing w:val="0"/>
                <w:kern w:val="0"/>
                <w:sz w:val="21"/>
                <w:szCs w:val="21"/>
                <w:lang w:val="en-US" w:eastAsia="zh-CN" w:bidi="ar"/>
              </w:rPr>
              <w:t>19</w:t>
            </w:r>
          </w:p>
        </w:tc>
        <w:tc>
          <w:tcPr>
            <w:tcW w:w="1193" w:type="dxa"/>
            <w:shd w:val="clear" w:color="auto" w:fill="FFFFFF"/>
            <w:tcMar>
              <w:top w:w="150" w:type="dxa"/>
              <w:left w:w="240" w:type="dxa"/>
              <w:bottom w:w="150" w:type="dxa"/>
              <w:right w:w="240" w:type="dxa"/>
            </w:tcMar>
            <w:vAlign w:val="center"/>
          </w:tcPr>
          <w:p w14:paraId="5923444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sz w:val="21"/>
                <w:szCs w:val="21"/>
              </w:rPr>
            </w:pPr>
            <w:r>
              <w:rPr>
                <w:rFonts w:hint="default" w:ascii="Times New Roman" w:hAnsi="Times New Roman" w:eastAsia="仿宋_GB2312" w:cs="Segoe UI"/>
                <w:i w:val="0"/>
                <w:iCs w:val="0"/>
                <w:caps w:val="0"/>
                <w:color w:val="0F1115"/>
                <w:spacing w:val="0"/>
                <w:kern w:val="0"/>
                <w:sz w:val="21"/>
                <w:szCs w:val="21"/>
                <w:lang w:val="en-US" w:eastAsia="zh-CN" w:bidi="ar"/>
              </w:rPr>
              <w:t>程晓东</w:t>
            </w:r>
          </w:p>
        </w:tc>
        <w:tc>
          <w:tcPr>
            <w:tcW w:w="2063" w:type="dxa"/>
            <w:shd w:val="clear" w:color="auto" w:fill="FFFFFF"/>
            <w:tcMar>
              <w:top w:w="150" w:type="dxa"/>
              <w:left w:w="240" w:type="dxa"/>
              <w:bottom w:w="150" w:type="dxa"/>
              <w:right w:w="240" w:type="dxa"/>
            </w:tcMar>
            <w:vAlign w:val="center"/>
          </w:tcPr>
          <w:p w14:paraId="5723E32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sz w:val="21"/>
                <w:szCs w:val="21"/>
              </w:rPr>
            </w:pPr>
            <w:r>
              <w:rPr>
                <w:rFonts w:hint="default" w:ascii="Times New Roman" w:hAnsi="Times New Roman" w:eastAsia="仿宋_GB2312" w:cs="Segoe UI"/>
                <w:i w:val="0"/>
                <w:iCs w:val="0"/>
                <w:caps w:val="0"/>
                <w:color w:val="0F1115"/>
                <w:spacing w:val="0"/>
                <w:kern w:val="0"/>
                <w:sz w:val="21"/>
                <w:szCs w:val="21"/>
                <w:lang w:val="en-US" w:eastAsia="zh-CN" w:bidi="ar"/>
              </w:rPr>
              <w:t>安徽建筑大学</w:t>
            </w:r>
          </w:p>
        </w:tc>
        <w:tc>
          <w:tcPr>
            <w:tcW w:w="1517" w:type="dxa"/>
            <w:shd w:val="clear" w:color="auto" w:fill="FFFFFF"/>
            <w:tcMar>
              <w:top w:w="150" w:type="dxa"/>
              <w:left w:w="240" w:type="dxa"/>
              <w:bottom w:w="150" w:type="dxa"/>
              <w:right w:w="240" w:type="dxa"/>
            </w:tcMar>
            <w:vAlign w:val="center"/>
          </w:tcPr>
          <w:p w14:paraId="2A108A9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kern w:val="0"/>
                <w:sz w:val="21"/>
                <w:szCs w:val="21"/>
                <w:lang w:val="en-US" w:eastAsia="zh-CN" w:bidi="ar"/>
              </w:rPr>
            </w:pPr>
            <w:r>
              <w:rPr>
                <w:rFonts w:hint="eastAsia" w:ascii="Times New Roman" w:hAnsi="Times New Roman" w:eastAsia="仿宋_GB2312" w:cs="Segoe UI"/>
                <w:i w:val="0"/>
                <w:iCs w:val="0"/>
                <w:caps w:val="0"/>
                <w:color w:val="0F1115"/>
                <w:spacing w:val="0"/>
                <w:kern w:val="0"/>
                <w:sz w:val="21"/>
                <w:szCs w:val="21"/>
                <w:lang w:val="en-US" w:eastAsia="zh-CN" w:bidi="ar"/>
              </w:rPr>
              <w:t>岩土工程</w:t>
            </w:r>
          </w:p>
        </w:tc>
        <w:tc>
          <w:tcPr>
            <w:tcW w:w="1380" w:type="dxa"/>
            <w:shd w:val="clear" w:color="auto" w:fill="FFFFFF"/>
            <w:tcMar>
              <w:top w:w="150" w:type="dxa"/>
              <w:left w:w="240" w:type="dxa"/>
              <w:bottom w:w="150" w:type="dxa"/>
              <w:right w:w="240" w:type="dxa"/>
            </w:tcMar>
            <w:vAlign w:val="center"/>
          </w:tcPr>
          <w:p w14:paraId="39405AB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kern w:val="0"/>
                <w:sz w:val="21"/>
                <w:szCs w:val="21"/>
                <w:lang w:val="en-US" w:eastAsia="zh-CN" w:bidi="ar"/>
              </w:rPr>
            </w:pPr>
            <w:r>
              <w:rPr>
                <w:rFonts w:hint="eastAsia" w:ascii="Times New Roman" w:hAnsi="Times New Roman" w:eastAsia="仿宋_GB2312" w:cs="Segoe UI"/>
                <w:i w:val="0"/>
                <w:iCs w:val="0"/>
                <w:caps w:val="0"/>
                <w:color w:val="0F1115"/>
                <w:spacing w:val="0"/>
                <w:kern w:val="0"/>
                <w:sz w:val="21"/>
                <w:szCs w:val="21"/>
                <w:lang w:val="en-US" w:eastAsia="zh-CN" w:bidi="ar"/>
              </w:rPr>
              <w:t>教授</w:t>
            </w:r>
          </w:p>
        </w:tc>
        <w:tc>
          <w:tcPr>
            <w:tcW w:w="2240" w:type="dxa"/>
            <w:shd w:val="clear" w:color="auto" w:fill="FFFFFF"/>
            <w:tcMar>
              <w:top w:w="150" w:type="dxa"/>
              <w:left w:w="240" w:type="dxa"/>
              <w:bottom w:w="150" w:type="dxa"/>
              <w:right w:w="240" w:type="dxa"/>
            </w:tcMar>
            <w:vAlign w:val="center"/>
          </w:tcPr>
          <w:p w14:paraId="0CC6BD9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sz w:val="21"/>
                <w:szCs w:val="21"/>
              </w:rPr>
            </w:pPr>
            <w:r>
              <w:rPr>
                <w:rStyle w:val="14"/>
                <w:rFonts w:hint="default" w:ascii="Times New Roman" w:hAnsi="Times New Roman" w:eastAsia="仿宋_GB2312" w:cs="Segoe UI"/>
                <w:b/>
                <w:bCs/>
                <w:i w:val="0"/>
                <w:iCs w:val="0"/>
                <w:caps w:val="0"/>
                <w:color w:val="0F1115"/>
                <w:spacing w:val="0"/>
                <w:kern w:val="0"/>
                <w:sz w:val="21"/>
                <w:szCs w:val="21"/>
                <w:lang w:val="en-US" w:eastAsia="zh-CN" w:bidi="ar"/>
              </w:rPr>
              <w:t>资料调研</w:t>
            </w:r>
            <w:r>
              <w:rPr>
                <w:rFonts w:hint="default" w:ascii="Times New Roman" w:hAnsi="Times New Roman" w:eastAsia="仿宋_GB2312" w:cs="Segoe UI"/>
                <w:i w:val="0"/>
                <w:iCs w:val="0"/>
                <w:caps w:val="0"/>
                <w:color w:val="0F1115"/>
                <w:spacing w:val="0"/>
                <w:kern w:val="0"/>
                <w:sz w:val="21"/>
                <w:szCs w:val="21"/>
                <w:lang w:val="en-US" w:eastAsia="zh-CN" w:bidi="ar"/>
              </w:rPr>
              <w:t>（传感器安装要求文献）；</w:t>
            </w:r>
            <w:r>
              <w:rPr>
                <w:rStyle w:val="14"/>
                <w:rFonts w:hint="default" w:ascii="Times New Roman" w:hAnsi="Times New Roman" w:eastAsia="仿宋_GB2312" w:cs="Segoe UI"/>
                <w:b/>
                <w:bCs/>
                <w:i w:val="0"/>
                <w:iCs w:val="0"/>
                <w:caps w:val="0"/>
                <w:color w:val="0F1115"/>
                <w:spacing w:val="0"/>
                <w:kern w:val="0"/>
                <w:sz w:val="21"/>
                <w:szCs w:val="21"/>
                <w:lang w:val="en-US" w:eastAsia="zh-CN" w:bidi="ar"/>
              </w:rPr>
              <w:t>条文编写</w:t>
            </w:r>
          </w:p>
        </w:tc>
      </w:tr>
      <w:tr w14:paraId="30791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1086" w:hRule="atLeast"/>
          <w:jc w:val="center"/>
        </w:trPr>
        <w:tc>
          <w:tcPr>
            <w:tcW w:w="712" w:type="dxa"/>
            <w:shd w:val="clear" w:color="auto" w:fill="FFFFFF"/>
            <w:tcMar>
              <w:top w:w="150" w:type="dxa"/>
              <w:left w:w="0" w:type="dxa"/>
              <w:bottom w:w="150" w:type="dxa"/>
              <w:right w:w="240" w:type="dxa"/>
            </w:tcMar>
            <w:vAlign w:val="center"/>
          </w:tcPr>
          <w:p w14:paraId="17B51DE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sz w:val="21"/>
                <w:szCs w:val="21"/>
              </w:rPr>
            </w:pPr>
            <w:r>
              <w:rPr>
                <w:rFonts w:hint="default" w:ascii="Times New Roman" w:hAnsi="Times New Roman" w:eastAsia="仿宋_GB2312" w:cs="Segoe UI"/>
                <w:i w:val="0"/>
                <w:iCs w:val="0"/>
                <w:caps w:val="0"/>
                <w:color w:val="0F1115"/>
                <w:spacing w:val="0"/>
                <w:kern w:val="0"/>
                <w:sz w:val="21"/>
                <w:szCs w:val="21"/>
                <w:lang w:val="en-US" w:eastAsia="zh-CN" w:bidi="ar"/>
              </w:rPr>
              <w:t>20</w:t>
            </w:r>
          </w:p>
        </w:tc>
        <w:tc>
          <w:tcPr>
            <w:tcW w:w="1193" w:type="dxa"/>
            <w:shd w:val="clear" w:color="auto" w:fill="FFFFFF"/>
            <w:tcMar>
              <w:top w:w="150" w:type="dxa"/>
              <w:left w:w="240" w:type="dxa"/>
              <w:bottom w:w="150" w:type="dxa"/>
              <w:right w:w="240" w:type="dxa"/>
            </w:tcMar>
            <w:vAlign w:val="center"/>
          </w:tcPr>
          <w:p w14:paraId="7B88075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sz w:val="21"/>
                <w:szCs w:val="21"/>
              </w:rPr>
            </w:pPr>
            <w:r>
              <w:rPr>
                <w:rFonts w:hint="default" w:ascii="Times New Roman" w:hAnsi="Times New Roman" w:eastAsia="仿宋_GB2312" w:cs="Segoe UI"/>
                <w:i w:val="0"/>
                <w:iCs w:val="0"/>
                <w:caps w:val="0"/>
                <w:color w:val="0F1115"/>
                <w:spacing w:val="0"/>
                <w:kern w:val="0"/>
                <w:sz w:val="21"/>
                <w:szCs w:val="21"/>
                <w:lang w:val="en-US" w:eastAsia="zh-CN" w:bidi="ar"/>
              </w:rPr>
              <w:t>王德高</w:t>
            </w:r>
          </w:p>
        </w:tc>
        <w:tc>
          <w:tcPr>
            <w:tcW w:w="2063" w:type="dxa"/>
            <w:shd w:val="clear" w:color="auto" w:fill="FFFFFF"/>
            <w:tcMar>
              <w:top w:w="150" w:type="dxa"/>
              <w:left w:w="240" w:type="dxa"/>
              <w:bottom w:w="150" w:type="dxa"/>
              <w:right w:w="240" w:type="dxa"/>
            </w:tcMar>
            <w:vAlign w:val="center"/>
          </w:tcPr>
          <w:p w14:paraId="7F10B37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sz w:val="21"/>
                <w:szCs w:val="21"/>
              </w:rPr>
            </w:pPr>
            <w:r>
              <w:rPr>
                <w:rFonts w:hint="default" w:ascii="Times New Roman" w:hAnsi="Times New Roman" w:eastAsia="仿宋_GB2312" w:cs="Segoe UI"/>
                <w:i w:val="0"/>
                <w:iCs w:val="0"/>
                <w:caps w:val="0"/>
                <w:color w:val="0F1115"/>
                <w:spacing w:val="0"/>
                <w:kern w:val="0"/>
                <w:sz w:val="21"/>
                <w:szCs w:val="21"/>
                <w:lang w:val="en-US" w:eastAsia="zh-CN" w:bidi="ar"/>
              </w:rPr>
              <w:t>安徽工业经济职业技术学院</w:t>
            </w:r>
          </w:p>
        </w:tc>
        <w:tc>
          <w:tcPr>
            <w:tcW w:w="1517" w:type="dxa"/>
            <w:shd w:val="clear" w:color="auto" w:fill="FFFFFF"/>
            <w:tcMar>
              <w:top w:w="150" w:type="dxa"/>
              <w:left w:w="240" w:type="dxa"/>
              <w:bottom w:w="150" w:type="dxa"/>
              <w:right w:w="240" w:type="dxa"/>
            </w:tcMar>
            <w:vAlign w:val="center"/>
          </w:tcPr>
          <w:p w14:paraId="6A8D285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kern w:val="0"/>
                <w:sz w:val="21"/>
                <w:szCs w:val="21"/>
                <w:lang w:val="en-US" w:eastAsia="zh-CN" w:bidi="ar"/>
              </w:rPr>
            </w:pPr>
            <w:r>
              <w:rPr>
                <w:rFonts w:hint="eastAsia" w:ascii="Times New Roman" w:hAnsi="Times New Roman" w:eastAsia="仿宋_GB2312" w:cs="Segoe UI"/>
                <w:i w:val="0"/>
                <w:iCs w:val="0"/>
                <w:caps w:val="0"/>
                <w:color w:val="0F1115"/>
                <w:spacing w:val="0"/>
                <w:kern w:val="0"/>
                <w:sz w:val="21"/>
                <w:szCs w:val="21"/>
                <w:lang w:val="en-US" w:eastAsia="zh-CN" w:bidi="ar"/>
              </w:rPr>
              <w:t>地质工程</w:t>
            </w:r>
          </w:p>
        </w:tc>
        <w:tc>
          <w:tcPr>
            <w:tcW w:w="1380" w:type="dxa"/>
            <w:shd w:val="clear" w:color="auto" w:fill="FFFFFF"/>
            <w:tcMar>
              <w:top w:w="150" w:type="dxa"/>
              <w:left w:w="240" w:type="dxa"/>
              <w:bottom w:w="150" w:type="dxa"/>
              <w:right w:w="240" w:type="dxa"/>
            </w:tcMar>
            <w:vAlign w:val="center"/>
          </w:tcPr>
          <w:p w14:paraId="479461E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kern w:val="0"/>
                <w:sz w:val="21"/>
                <w:szCs w:val="21"/>
                <w:lang w:val="en-US" w:eastAsia="zh-CN" w:bidi="ar"/>
              </w:rPr>
            </w:pPr>
            <w:r>
              <w:rPr>
                <w:rFonts w:hint="eastAsia" w:ascii="Times New Roman" w:hAnsi="Times New Roman" w:eastAsia="仿宋_GB2312" w:cs="Segoe UI"/>
                <w:i w:val="0"/>
                <w:iCs w:val="0"/>
                <w:caps w:val="0"/>
                <w:color w:val="0F1115"/>
                <w:spacing w:val="0"/>
                <w:kern w:val="0"/>
                <w:sz w:val="21"/>
                <w:szCs w:val="21"/>
                <w:lang w:val="en-US" w:eastAsia="zh-CN" w:bidi="ar"/>
              </w:rPr>
              <w:t>副教授</w:t>
            </w:r>
          </w:p>
        </w:tc>
        <w:tc>
          <w:tcPr>
            <w:tcW w:w="2240" w:type="dxa"/>
            <w:shd w:val="clear" w:color="auto" w:fill="FFFFFF"/>
            <w:tcMar>
              <w:top w:w="150" w:type="dxa"/>
              <w:left w:w="240" w:type="dxa"/>
              <w:bottom w:w="150" w:type="dxa"/>
              <w:right w:w="240" w:type="dxa"/>
            </w:tcMar>
            <w:vAlign w:val="center"/>
          </w:tcPr>
          <w:p w14:paraId="4012960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sz w:val="21"/>
                <w:szCs w:val="21"/>
              </w:rPr>
            </w:pPr>
            <w:r>
              <w:rPr>
                <w:rStyle w:val="14"/>
                <w:rFonts w:hint="default" w:ascii="Times New Roman" w:hAnsi="Times New Roman" w:eastAsia="仿宋_GB2312" w:cs="Segoe UI"/>
                <w:b/>
                <w:bCs/>
                <w:i w:val="0"/>
                <w:iCs w:val="0"/>
                <w:caps w:val="0"/>
                <w:color w:val="0F1115"/>
                <w:spacing w:val="0"/>
                <w:kern w:val="0"/>
                <w:sz w:val="21"/>
                <w:szCs w:val="21"/>
                <w:lang w:val="en-US" w:eastAsia="zh-CN" w:bidi="ar"/>
              </w:rPr>
              <w:t>资料调研</w:t>
            </w:r>
            <w:r>
              <w:rPr>
                <w:rFonts w:hint="default" w:ascii="Times New Roman" w:hAnsi="Times New Roman" w:eastAsia="仿宋_GB2312" w:cs="Segoe UI"/>
                <w:i w:val="0"/>
                <w:iCs w:val="0"/>
                <w:caps w:val="0"/>
                <w:color w:val="0F1115"/>
                <w:spacing w:val="0"/>
                <w:kern w:val="0"/>
                <w:sz w:val="21"/>
                <w:szCs w:val="21"/>
                <w:lang w:val="en-US" w:eastAsia="zh-CN" w:bidi="ar"/>
              </w:rPr>
              <w:t>（常用自动化监测方法精度、适用条件）；</w:t>
            </w:r>
            <w:r>
              <w:rPr>
                <w:rStyle w:val="14"/>
                <w:rFonts w:hint="default" w:ascii="Times New Roman" w:hAnsi="Times New Roman" w:eastAsia="仿宋_GB2312" w:cs="Segoe UI"/>
                <w:b/>
                <w:bCs/>
                <w:i w:val="0"/>
                <w:iCs w:val="0"/>
                <w:caps w:val="0"/>
                <w:color w:val="0F1115"/>
                <w:spacing w:val="0"/>
                <w:kern w:val="0"/>
                <w:sz w:val="21"/>
                <w:szCs w:val="21"/>
                <w:lang w:val="en-US" w:eastAsia="zh-CN" w:bidi="ar"/>
              </w:rPr>
              <w:t>工程调研</w:t>
            </w:r>
            <w:r>
              <w:rPr>
                <w:rFonts w:hint="default" w:ascii="Times New Roman" w:hAnsi="Times New Roman" w:eastAsia="仿宋_GB2312" w:cs="Segoe UI"/>
                <w:i w:val="0"/>
                <w:iCs w:val="0"/>
                <w:caps w:val="0"/>
                <w:color w:val="0F1115"/>
                <w:spacing w:val="0"/>
                <w:kern w:val="0"/>
                <w:sz w:val="21"/>
                <w:szCs w:val="21"/>
                <w:lang w:val="en-US" w:eastAsia="zh-CN" w:bidi="ar"/>
              </w:rPr>
              <w:t>（监测方法选择案例）</w:t>
            </w:r>
          </w:p>
        </w:tc>
      </w:tr>
      <w:tr w14:paraId="73D6F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1086" w:hRule="atLeast"/>
          <w:jc w:val="center"/>
        </w:trPr>
        <w:tc>
          <w:tcPr>
            <w:tcW w:w="712" w:type="dxa"/>
            <w:shd w:val="clear" w:color="auto" w:fill="FFFFFF"/>
            <w:tcMar>
              <w:top w:w="150" w:type="dxa"/>
              <w:left w:w="0" w:type="dxa"/>
              <w:bottom w:w="150" w:type="dxa"/>
              <w:right w:w="240" w:type="dxa"/>
            </w:tcMar>
            <w:vAlign w:val="center"/>
          </w:tcPr>
          <w:p w14:paraId="6A91F18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sz w:val="21"/>
                <w:szCs w:val="21"/>
              </w:rPr>
            </w:pPr>
            <w:r>
              <w:rPr>
                <w:rFonts w:hint="default" w:ascii="Times New Roman" w:hAnsi="Times New Roman" w:eastAsia="仿宋_GB2312" w:cs="Segoe UI"/>
                <w:i w:val="0"/>
                <w:iCs w:val="0"/>
                <w:caps w:val="0"/>
                <w:color w:val="0F1115"/>
                <w:spacing w:val="0"/>
                <w:kern w:val="0"/>
                <w:sz w:val="21"/>
                <w:szCs w:val="21"/>
                <w:lang w:val="en-US" w:eastAsia="zh-CN" w:bidi="ar"/>
              </w:rPr>
              <w:t>21</w:t>
            </w:r>
          </w:p>
        </w:tc>
        <w:tc>
          <w:tcPr>
            <w:tcW w:w="1193" w:type="dxa"/>
            <w:shd w:val="clear" w:color="auto" w:fill="FFFFFF"/>
            <w:tcMar>
              <w:top w:w="150" w:type="dxa"/>
              <w:left w:w="240" w:type="dxa"/>
              <w:bottom w:w="150" w:type="dxa"/>
              <w:right w:w="240" w:type="dxa"/>
            </w:tcMar>
            <w:vAlign w:val="center"/>
          </w:tcPr>
          <w:p w14:paraId="0956E21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sz w:val="21"/>
                <w:szCs w:val="21"/>
              </w:rPr>
            </w:pPr>
            <w:r>
              <w:rPr>
                <w:rFonts w:hint="default" w:ascii="Times New Roman" w:hAnsi="Times New Roman" w:eastAsia="仿宋_GB2312" w:cs="Segoe UI"/>
                <w:i w:val="0"/>
                <w:iCs w:val="0"/>
                <w:caps w:val="0"/>
                <w:color w:val="0F1115"/>
                <w:spacing w:val="0"/>
                <w:kern w:val="0"/>
                <w:sz w:val="21"/>
                <w:szCs w:val="21"/>
                <w:lang w:val="en-US" w:eastAsia="zh-CN" w:bidi="ar"/>
              </w:rPr>
              <w:t>池泽成</w:t>
            </w:r>
          </w:p>
        </w:tc>
        <w:tc>
          <w:tcPr>
            <w:tcW w:w="2063" w:type="dxa"/>
            <w:shd w:val="clear" w:color="auto" w:fill="FFFFFF"/>
            <w:tcMar>
              <w:top w:w="150" w:type="dxa"/>
              <w:left w:w="240" w:type="dxa"/>
              <w:bottom w:w="150" w:type="dxa"/>
              <w:right w:w="240" w:type="dxa"/>
            </w:tcMar>
            <w:vAlign w:val="center"/>
          </w:tcPr>
          <w:p w14:paraId="63FBAF2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sz w:val="21"/>
                <w:szCs w:val="21"/>
              </w:rPr>
            </w:pPr>
            <w:r>
              <w:rPr>
                <w:rFonts w:hint="default" w:ascii="Times New Roman" w:hAnsi="Times New Roman" w:eastAsia="仿宋_GB2312" w:cs="Segoe UI"/>
                <w:i w:val="0"/>
                <w:iCs w:val="0"/>
                <w:caps w:val="0"/>
                <w:color w:val="0F1115"/>
                <w:spacing w:val="0"/>
                <w:kern w:val="0"/>
                <w:sz w:val="21"/>
                <w:szCs w:val="21"/>
                <w:lang w:val="en-US" w:eastAsia="zh-CN" w:bidi="ar"/>
              </w:rPr>
              <w:t>黄河实验室（河南）</w:t>
            </w:r>
          </w:p>
        </w:tc>
        <w:tc>
          <w:tcPr>
            <w:tcW w:w="1517" w:type="dxa"/>
            <w:shd w:val="clear" w:color="auto" w:fill="FFFFFF"/>
            <w:tcMar>
              <w:top w:w="150" w:type="dxa"/>
              <w:left w:w="240" w:type="dxa"/>
              <w:bottom w:w="150" w:type="dxa"/>
              <w:right w:w="240" w:type="dxa"/>
            </w:tcMar>
            <w:vAlign w:val="center"/>
          </w:tcPr>
          <w:p w14:paraId="125ED4C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kern w:val="0"/>
                <w:sz w:val="21"/>
                <w:szCs w:val="21"/>
                <w:lang w:val="en-US" w:eastAsia="zh-CN" w:bidi="ar"/>
              </w:rPr>
            </w:pPr>
            <w:r>
              <w:rPr>
                <w:rFonts w:hint="eastAsia" w:ascii="Times New Roman" w:hAnsi="Times New Roman" w:eastAsia="仿宋_GB2312" w:cs="Segoe UI"/>
                <w:i w:val="0"/>
                <w:iCs w:val="0"/>
                <w:caps w:val="0"/>
                <w:color w:val="0F1115"/>
                <w:spacing w:val="0"/>
                <w:kern w:val="0"/>
                <w:sz w:val="21"/>
                <w:szCs w:val="21"/>
                <w:lang w:val="en-US" w:eastAsia="zh-CN" w:bidi="ar"/>
              </w:rPr>
              <w:t>岩土工程</w:t>
            </w:r>
          </w:p>
        </w:tc>
        <w:tc>
          <w:tcPr>
            <w:tcW w:w="1380" w:type="dxa"/>
            <w:shd w:val="clear" w:color="auto" w:fill="FFFFFF"/>
            <w:tcMar>
              <w:top w:w="150" w:type="dxa"/>
              <w:left w:w="240" w:type="dxa"/>
              <w:bottom w:w="150" w:type="dxa"/>
              <w:right w:w="240" w:type="dxa"/>
            </w:tcMar>
            <w:vAlign w:val="center"/>
          </w:tcPr>
          <w:p w14:paraId="50E556A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kern w:val="0"/>
                <w:sz w:val="21"/>
                <w:szCs w:val="21"/>
                <w:lang w:val="en-US" w:eastAsia="zh-CN" w:bidi="ar"/>
              </w:rPr>
            </w:pPr>
            <w:r>
              <w:rPr>
                <w:rFonts w:hint="eastAsia" w:ascii="Times New Roman" w:hAnsi="Times New Roman" w:eastAsia="仿宋_GB2312" w:cs="Segoe UI"/>
                <w:i w:val="0"/>
                <w:iCs w:val="0"/>
                <w:caps w:val="0"/>
                <w:color w:val="0F1115"/>
                <w:spacing w:val="0"/>
                <w:kern w:val="0"/>
                <w:sz w:val="21"/>
                <w:szCs w:val="21"/>
                <w:lang w:val="en-US" w:eastAsia="zh-CN" w:bidi="ar"/>
              </w:rPr>
              <w:t>助理研究员</w:t>
            </w:r>
          </w:p>
        </w:tc>
        <w:tc>
          <w:tcPr>
            <w:tcW w:w="2240" w:type="dxa"/>
            <w:shd w:val="clear" w:color="auto" w:fill="FFFFFF"/>
            <w:tcMar>
              <w:top w:w="150" w:type="dxa"/>
              <w:left w:w="240" w:type="dxa"/>
              <w:bottom w:w="150" w:type="dxa"/>
              <w:right w:w="240" w:type="dxa"/>
            </w:tcMar>
            <w:vAlign w:val="center"/>
          </w:tcPr>
          <w:p w14:paraId="497CE92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sz w:val="21"/>
                <w:szCs w:val="21"/>
              </w:rPr>
            </w:pPr>
            <w:r>
              <w:rPr>
                <w:rStyle w:val="14"/>
                <w:rFonts w:hint="default" w:ascii="Times New Roman" w:hAnsi="Times New Roman" w:eastAsia="仿宋_GB2312" w:cs="Segoe UI"/>
                <w:b/>
                <w:bCs/>
                <w:i w:val="0"/>
                <w:iCs w:val="0"/>
                <w:caps w:val="0"/>
                <w:color w:val="0F1115"/>
                <w:spacing w:val="0"/>
                <w:kern w:val="0"/>
                <w:sz w:val="21"/>
                <w:szCs w:val="21"/>
                <w:lang w:val="en-US" w:eastAsia="zh-CN" w:bidi="ar"/>
              </w:rPr>
              <w:t>资料调研</w:t>
            </w:r>
            <w:r>
              <w:rPr>
                <w:rFonts w:hint="default" w:ascii="Times New Roman" w:hAnsi="Times New Roman" w:eastAsia="仿宋_GB2312" w:cs="Segoe UI"/>
                <w:i w:val="0"/>
                <w:iCs w:val="0"/>
                <w:caps w:val="0"/>
                <w:color w:val="0F1115"/>
                <w:spacing w:val="0"/>
                <w:kern w:val="0"/>
                <w:sz w:val="21"/>
                <w:szCs w:val="21"/>
                <w:lang w:val="en-US" w:eastAsia="zh-CN" w:bidi="ar"/>
              </w:rPr>
              <w:t>（数据分析、预警模型文献）；</w:t>
            </w:r>
            <w:r>
              <w:rPr>
                <w:rStyle w:val="14"/>
                <w:rFonts w:hint="default" w:ascii="Times New Roman" w:hAnsi="Times New Roman" w:eastAsia="仿宋_GB2312" w:cs="Segoe UI"/>
                <w:b/>
                <w:bCs/>
                <w:i w:val="0"/>
                <w:iCs w:val="0"/>
                <w:caps w:val="0"/>
                <w:color w:val="0F1115"/>
                <w:spacing w:val="0"/>
                <w:kern w:val="0"/>
                <w:sz w:val="21"/>
                <w:szCs w:val="21"/>
                <w:lang w:val="en-US" w:eastAsia="zh-CN" w:bidi="ar"/>
              </w:rPr>
              <w:t>工程调研</w:t>
            </w:r>
            <w:r>
              <w:rPr>
                <w:rFonts w:hint="default" w:ascii="Times New Roman" w:hAnsi="Times New Roman" w:eastAsia="仿宋_GB2312" w:cs="Segoe UI"/>
                <w:i w:val="0"/>
                <w:iCs w:val="0"/>
                <w:caps w:val="0"/>
                <w:color w:val="0F1115"/>
                <w:spacing w:val="0"/>
                <w:kern w:val="0"/>
                <w:sz w:val="21"/>
                <w:szCs w:val="21"/>
                <w:lang w:val="en-US" w:eastAsia="zh-CN" w:bidi="ar"/>
              </w:rPr>
              <w:t>（预警案例）</w:t>
            </w:r>
          </w:p>
        </w:tc>
      </w:tr>
      <w:tr w14:paraId="5ED27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1086" w:hRule="atLeast"/>
          <w:jc w:val="center"/>
        </w:trPr>
        <w:tc>
          <w:tcPr>
            <w:tcW w:w="712" w:type="dxa"/>
            <w:shd w:val="clear" w:color="auto" w:fill="FFFFFF"/>
            <w:tcMar>
              <w:top w:w="150" w:type="dxa"/>
              <w:left w:w="0" w:type="dxa"/>
              <w:bottom w:w="150" w:type="dxa"/>
              <w:right w:w="240" w:type="dxa"/>
            </w:tcMar>
            <w:vAlign w:val="center"/>
          </w:tcPr>
          <w:p w14:paraId="18E0082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sz w:val="21"/>
                <w:szCs w:val="21"/>
              </w:rPr>
            </w:pPr>
            <w:r>
              <w:rPr>
                <w:rFonts w:hint="default" w:ascii="Times New Roman" w:hAnsi="Times New Roman" w:eastAsia="仿宋_GB2312" w:cs="Segoe UI"/>
                <w:i w:val="0"/>
                <w:iCs w:val="0"/>
                <w:caps w:val="0"/>
                <w:color w:val="0F1115"/>
                <w:spacing w:val="0"/>
                <w:kern w:val="0"/>
                <w:sz w:val="21"/>
                <w:szCs w:val="21"/>
                <w:lang w:val="en-US" w:eastAsia="zh-CN" w:bidi="ar"/>
              </w:rPr>
              <w:t>22</w:t>
            </w:r>
          </w:p>
        </w:tc>
        <w:tc>
          <w:tcPr>
            <w:tcW w:w="1193" w:type="dxa"/>
            <w:shd w:val="clear" w:color="auto" w:fill="FFFFFF"/>
            <w:tcMar>
              <w:top w:w="150" w:type="dxa"/>
              <w:left w:w="240" w:type="dxa"/>
              <w:bottom w:w="150" w:type="dxa"/>
              <w:right w:w="240" w:type="dxa"/>
            </w:tcMar>
            <w:vAlign w:val="center"/>
          </w:tcPr>
          <w:p w14:paraId="314CA6B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sz w:val="21"/>
                <w:szCs w:val="21"/>
              </w:rPr>
            </w:pPr>
            <w:r>
              <w:rPr>
                <w:rFonts w:hint="default" w:ascii="Times New Roman" w:hAnsi="Times New Roman" w:eastAsia="仿宋_GB2312" w:cs="Segoe UI"/>
                <w:i w:val="0"/>
                <w:iCs w:val="0"/>
                <w:caps w:val="0"/>
                <w:color w:val="0F1115"/>
                <w:spacing w:val="0"/>
                <w:kern w:val="0"/>
                <w:sz w:val="21"/>
                <w:szCs w:val="21"/>
                <w:lang w:val="en-US" w:eastAsia="zh-CN" w:bidi="ar"/>
              </w:rPr>
              <w:t>葛鑫博</w:t>
            </w:r>
          </w:p>
        </w:tc>
        <w:tc>
          <w:tcPr>
            <w:tcW w:w="2063" w:type="dxa"/>
            <w:shd w:val="clear" w:color="auto" w:fill="FFFFFF"/>
            <w:tcMar>
              <w:top w:w="150" w:type="dxa"/>
              <w:left w:w="240" w:type="dxa"/>
              <w:bottom w:w="150" w:type="dxa"/>
              <w:right w:w="240" w:type="dxa"/>
            </w:tcMar>
            <w:vAlign w:val="center"/>
          </w:tcPr>
          <w:p w14:paraId="6AA0F0D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sz w:val="21"/>
                <w:szCs w:val="21"/>
              </w:rPr>
            </w:pPr>
            <w:r>
              <w:rPr>
                <w:rFonts w:hint="default" w:ascii="Times New Roman" w:hAnsi="Times New Roman" w:eastAsia="仿宋_GB2312" w:cs="Segoe UI"/>
                <w:i w:val="0"/>
                <w:iCs w:val="0"/>
                <w:caps w:val="0"/>
                <w:color w:val="0F1115"/>
                <w:spacing w:val="0"/>
                <w:kern w:val="0"/>
                <w:sz w:val="21"/>
                <w:szCs w:val="21"/>
                <w:lang w:val="en-US" w:eastAsia="zh-CN" w:bidi="ar"/>
              </w:rPr>
              <w:t>山东科技大学</w:t>
            </w:r>
          </w:p>
        </w:tc>
        <w:tc>
          <w:tcPr>
            <w:tcW w:w="1517" w:type="dxa"/>
            <w:shd w:val="clear" w:color="auto" w:fill="FFFFFF"/>
            <w:tcMar>
              <w:top w:w="150" w:type="dxa"/>
              <w:left w:w="240" w:type="dxa"/>
              <w:bottom w:w="150" w:type="dxa"/>
              <w:right w:w="240" w:type="dxa"/>
            </w:tcMar>
            <w:vAlign w:val="center"/>
          </w:tcPr>
          <w:p w14:paraId="25FE2B1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kern w:val="0"/>
                <w:sz w:val="21"/>
                <w:szCs w:val="21"/>
                <w:lang w:val="en-US" w:eastAsia="zh-CN" w:bidi="ar"/>
              </w:rPr>
            </w:pPr>
            <w:r>
              <w:rPr>
                <w:rFonts w:hint="eastAsia" w:ascii="Times New Roman" w:hAnsi="Times New Roman" w:eastAsia="仿宋_GB2312" w:cs="Segoe UI"/>
                <w:i w:val="0"/>
                <w:iCs w:val="0"/>
                <w:caps w:val="0"/>
                <w:color w:val="0F1115"/>
                <w:spacing w:val="0"/>
                <w:kern w:val="0"/>
                <w:sz w:val="21"/>
                <w:szCs w:val="21"/>
                <w:lang w:val="en-US" w:eastAsia="zh-CN" w:bidi="ar"/>
              </w:rPr>
              <w:t>岩土工程</w:t>
            </w:r>
          </w:p>
        </w:tc>
        <w:tc>
          <w:tcPr>
            <w:tcW w:w="1380" w:type="dxa"/>
            <w:shd w:val="clear" w:color="auto" w:fill="FFFFFF"/>
            <w:tcMar>
              <w:top w:w="150" w:type="dxa"/>
              <w:left w:w="240" w:type="dxa"/>
              <w:bottom w:w="150" w:type="dxa"/>
              <w:right w:w="240" w:type="dxa"/>
            </w:tcMar>
            <w:vAlign w:val="center"/>
          </w:tcPr>
          <w:p w14:paraId="703F954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kern w:val="0"/>
                <w:sz w:val="21"/>
                <w:szCs w:val="21"/>
                <w:lang w:val="en-US" w:eastAsia="zh-CN" w:bidi="ar"/>
              </w:rPr>
            </w:pPr>
            <w:r>
              <w:rPr>
                <w:rFonts w:hint="eastAsia" w:ascii="Times New Roman" w:hAnsi="Times New Roman" w:eastAsia="仿宋_GB2312" w:cs="Segoe UI"/>
                <w:i w:val="0"/>
                <w:iCs w:val="0"/>
                <w:caps w:val="0"/>
                <w:color w:val="0F1115"/>
                <w:spacing w:val="0"/>
                <w:kern w:val="0"/>
                <w:sz w:val="21"/>
                <w:szCs w:val="21"/>
                <w:lang w:val="en-US" w:eastAsia="zh-CN" w:bidi="ar"/>
              </w:rPr>
              <w:t>讲师</w:t>
            </w:r>
          </w:p>
        </w:tc>
        <w:tc>
          <w:tcPr>
            <w:tcW w:w="2240" w:type="dxa"/>
            <w:shd w:val="clear" w:color="auto" w:fill="FFFFFF"/>
            <w:tcMar>
              <w:top w:w="150" w:type="dxa"/>
              <w:left w:w="240" w:type="dxa"/>
              <w:bottom w:w="150" w:type="dxa"/>
              <w:right w:w="240" w:type="dxa"/>
            </w:tcMar>
            <w:vAlign w:val="center"/>
          </w:tcPr>
          <w:p w14:paraId="46F44B0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sz w:val="21"/>
                <w:szCs w:val="21"/>
              </w:rPr>
            </w:pPr>
            <w:r>
              <w:rPr>
                <w:rStyle w:val="14"/>
                <w:rFonts w:hint="default" w:ascii="Times New Roman" w:hAnsi="Times New Roman" w:eastAsia="仿宋_GB2312" w:cs="Segoe UI"/>
                <w:b/>
                <w:bCs/>
                <w:i w:val="0"/>
                <w:iCs w:val="0"/>
                <w:caps w:val="0"/>
                <w:color w:val="0F1115"/>
                <w:spacing w:val="0"/>
                <w:kern w:val="0"/>
                <w:sz w:val="21"/>
                <w:szCs w:val="21"/>
                <w:lang w:val="en-US" w:eastAsia="zh-CN" w:bidi="ar"/>
              </w:rPr>
              <w:t>资料调研</w:t>
            </w:r>
            <w:r>
              <w:rPr>
                <w:rFonts w:hint="default" w:ascii="Times New Roman" w:hAnsi="Times New Roman" w:eastAsia="仿宋_GB2312" w:cs="Segoe UI"/>
                <w:i w:val="0"/>
                <w:iCs w:val="0"/>
                <w:caps w:val="0"/>
                <w:color w:val="0F1115"/>
                <w:spacing w:val="0"/>
                <w:kern w:val="0"/>
                <w:sz w:val="21"/>
                <w:szCs w:val="21"/>
                <w:lang w:val="en-US" w:eastAsia="zh-CN" w:bidi="ar"/>
              </w:rPr>
              <w:t>（术语定义、监测内容相关标准）；</w:t>
            </w:r>
            <w:r>
              <w:rPr>
                <w:rStyle w:val="14"/>
                <w:rFonts w:hint="default" w:ascii="Times New Roman" w:hAnsi="Times New Roman" w:eastAsia="仿宋_GB2312" w:cs="Segoe UI"/>
                <w:b/>
                <w:bCs/>
                <w:i w:val="0"/>
                <w:iCs w:val="0"/>
                <w:caps w:val="0"/>
                <w:color w:val="0F1115"/>
                <w:spacing w:val="0"/>
                <w:kern w:val="0"/>
                <w:sz w:val="21"/>
                <w:szCs w:val="21"/>
                <w:lang w:val="en-US" w:eastAsia="zh-CN" w:bidi="ar"/>
              </w:rPr>
              <w:t>条文编写</w:t>
            </w:r>
          </w:p>
        </w:tc>
      </w:tr>
      <w:tr w14:paraId="518E5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1086" w:hRule="atLeast"/>
          <w:jc w:val="center"/>
        </w:trPr>
        <w:tc>
          <w:tcPr>
            <w:tcW w:w="712" w:type="dxa"/>
            <w:shd w:val="clear" w:color="auto" w:fill="FFFFFF"/>
            <w:tcMar>
              <w:top w:w="150" w:type="dxa"/>
              <w:left w:w="0" w:type="dxa"/>
              <w:bottom w:w="150" w:type="dxa"/>
              <w:right w:w="240" w:type="dxa"/>
            </w:tcMar>
            <w:vAlign w:val="center"/>
          </w:tcPr>
          <w:p w14:paraId="1781471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sz w:val="21"/>
                <w:szCs w:val="21"/>
              </w:rPr>
            </w:pPr>
            <w:r>
              <w:rPr>
                <w:rFonts w:hint="default" w:ascii="Times New Roman" w:hAnsi="Times New Roman" w:eastAsia="仿宋_GB2312" w:cs="Segoe UI"/>
                <w:i w:val="0"/>
                <w:iCs w:val="0"/>
                <w:caps w:val="0"/>
                <w:color w:val="0F1115"/>
                <w:spacing w:val="0"/>
                <w:kern w:val="0"/>
                <w:sz w:val="21"/>
                <w:szCs w:val="21"/>
                <w:lang w:val="en-US" w:eastAsia="zh-CN" w:bidi="ar"/>
              </w:rPr>
              <w:t>23</w:t>
            </w:r>
          </w:p>
        </w:tc>
        <w:tc>
          <w:tcPr>
            <w:tcW w:w="1193" w:type="dxa"/>
            <w:shd w:val="clear" w:color="auto" w:fill="FFFFFF"/>
            <w:tcMar>
              <w:top w:w="150" w:type="dxa"/>
              <w:left w:w="240" w:type="dxa"/>
              <w:bottom w:w="150" w:type="dxa"/>
              <w:right w:w="240" w:type="dxa"/>
            </w:tcMar>
            <w:vAlign w:val="center"/>
          </w:tcPr>
          <w:p w14:paraId="65C7A46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sz w:val="21"/>
                <w:szCs w:val="21"/>
              </w:rPr>
            </w:pPr>
            <w:r>
              <w:rPr>
                <w:rFonts w:hint="default" w:ascii="Times New Roman" w:hAnsi="Times New Roman" w:eastAsia="仿宋_GB2312" w:cs="Segoe UI"/>
                <w:i w:val="0"/>
                <w:iCs w:val="0"/>
                <w:caps w:val="0"/>
                <w:color w:val="0F1115"/>
                <w:spacing w:val="0"/>
                <w:kern w:val="0"/>
                <w:sz w:val="21"/>
                <w:szCs w:val="21"/>
                <w:lang w:val="en-US" w:eastAsia="zh-CN" w:bidi="ar"/>
              </w:rPr>
              <w:t>马俊超</w:t>
            </w:r>
          </w:p>
        </w:tc>
        <w:tc>
          <w:tcPr>
            <w:tcW w:w="2063" w:type="dxa"/>
            <w:shd w:val="clear" w:color="auto" w:fill="FFFFFF"/>
            <w:tcMar>
              <w:top w:w="150" w:type="dxa"/>
              <w:left w:w="240" w:type="dxa"/>
              <w:bottom w:w="150" w:type="dxa"/>
              <w:right w:w="240" w:type="dxa"/>
            </w:tcMar>
            <w:vAlign w:val="center"/>
          </w:tcPr>
          <w:p w14:paraId="76554A4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sz w:val="21"/>
                <w:szCs w:val="21"/>
              </w:rPr>
            </w:pPr>
            <w:r>
              <w:rPr>
                <w:rFonts w:hint="default" w:ascii="Times New Roman" w:hAnsi="Times New Roman" w:eastAsia="仿宋_GB2312" w:cs="Segoe UI"/>
                <w:i w:val="0"/>
                <w:iCs w:val="0"/>
                <w:caps w:val="0"/>
                <w:color w:val="0F1115"/>
                <w:spacing w:val="0"/>
                <w:kern w:val="0"/>
                <w:sz w:val="21"/>
                <w:szCs w:val="21"/>
                <w:lang w:val="en-US" w:eastAsia="zh-CN" w:bidi="ar"/>
              </w:rPr>
              <w:t>安徽工业经济职业技术学院</w:t>
            </w:r>
          </w:p>
        </w:tc>
        <w:tc>
          <w:tcPr>
            <w:tcW w:w="1517" w:type="dxa"/>
            <w:shd w:val="clear" w:color="auto" w:fill="FFFFFF"/>
            <w:tcMar>
              <w:top w:w="150" w:type="dxa"/>
              <w:left w:w="240" w:type="dxa"/>
              <w:bottom w:w="150" w:type="dxa"/>
              <w:right w:w="240" w:type="dxa"/>
            </w:tcMar>
            <w:vAlign w:val="center"/>
          </w:tcPr>
          <w:p w14:paraId="2B6E243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kern w:val="0"/>
                <w:sz w:val="21"/>
                <w:szCs w:val="21"/>
                <w:lang w:val="en-US" w:eastAsia="zh-CN" w:bidi="ar"/>
              </w:rPr>
            </w:pPr>
            <w:r>
              <w:rPr>
                <w:rFonts w:hint="eastAsia" w:ascii="Times New Roman" w:hAnsi="Times New Roman" w:eastAsia="仿宋_GB2312" w:cs="Segoe UI"/>
                <w:i w:val="0"/>
                <w:iCs w:val="0"/>
                <w:caps w:val="0"/>
                <w:color w:val="0F1115"/>
                <w:spacing w:val="0"/>
                <w:kern w:val="0"/>
                <w:sz w:val="21"/>
                <w:szCs w:val="21"/>
                <w:lang w:val="en-US" w:eastAsia="zh-CN" w:bidi="ar"/>
              </w:rPr>
              <w:t>岩土工程</w:t>
            </w:r>
          </w:p>
        </w:tc>
        <w:tc>
          <w:tcPr>
            <w:tcW w:w="1380" w:type="dxa"/>
            <w:shd w:val="clear" w:color="auto" w:fill="FFFFFF"/>
            <w:tcMar>
              <w:top w:w="150" w:type="dxa"/>
              <w:left w:w="240" w:type="dxa"/>
              <w:bottom w:w="150" w:type="dxa"/>
              <w:right w:w="240" w:type="dxa"/>
            </w:tcMar>
            <w:vAlign w:val="center"/>
          </w:tcPr>
          <w:p w14:paraId="3AB4986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kern w:val="0"/>
                <w:sz w:val="21"/>
                <w:szCs w:val="21"/>
                <w:lang w:val="en-US" w:eastAsia="zh-CN" w:bidi="ar"/>
              </w:rPr>
            </w:pPr>
            <w:r>
              <w:rPr>
                <w:rFonts w:hint="eastAsia" w:ascii="Times New Roman" w:hAnsi="Times New Roman" w:eastAsia="仿宋_GB2312" w:cs="Segoe UI"/>
                <w:i w:val="0"/>
                <w:iCs w:val="0"/>
                <w:caps w:val="0"/>
                <w:color w:val="0F1115"/>
                <w:spacing w:val="0"/>
                <w:kern w:val="0"/>
                <w:sz w:val="21"/>
                <w:szCs w:val="21"/>
                <w:lang w:val="en-US" w:eastAsia="zh-CN" w:bidi="ar"/>
              </w:rPr>
              <w:t>讲师</w:t>
            </w:r>
          </w:p>
        </w:tc>
        <w:tc>
          <w:tcPr>
            <w:tcW w:w="2240" w:type="dxa"/>
            <w:shd w:val="clear" w:color="auto" w:fill="FFFFFF"/>
            <w:tcMar>
              <w:top w:w="150" w:type="dxa"/>
              <w:left w:w="240" w:type="dxa"/>
              <w:bottom w:w="150" w:type="dxa"/>
              <w:right w:w="240" w:type="dxa"/>
            </w:tcMar>
            <w:vAlign w:val="center"/>
          </w:tcPr>
          <w:p w14:paraId="491A0D2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sz w:val="21"/>
                <w:szCs w:val="21"/>
              </w:rPr>
            </w:pPr>
            <w:r>
              <w:rPr>
                <w:rStyle w:val="14"/>
                <w:rFonts w:hint="default" w:ascii="Times New Roman" w:hAnsi="Times New Roman" w:eastAsia="仿宋_GB2312" w:cs="Segoe UI"/>
                <w:b/>
                <w:bCs/>
                <w:i w:val="0"/>
                <w:iCs w:val="0"/>
                <w:caps w:val="0"/>
                <w:color w:val="0F1115"/>
                <w:spacing w:val="0"/>
                <w:kern w:val="0"/>
                <w:sz w:val="21"/>
                <w:szCs w:val="21"/>
                <w:lang w:val="en-US" w:eastAsia="zh-CN" w:bidi="ar"/>
              </w:rPr>
              <w:t>工程调研</w:t>
            </w:r>
            <w:r>
              <w:rPr>
                <w:rFonts w:hint="default" w:ascii="Times New Roman" w:hAnsi="Times New Roman" w:eastAsia="仿宋_GB2312" w:cs="Segoe UI"/>
                <w:i w:val="0"/>
                <w:iCs w:val="0"/>
                <w:caps w:val="0"/>
                <w:color w:val="0F1115"/>
                <w:spacing w:val="0"/>
                <w:kern w:val="0"/>
                <w:sz w:val="21"/>
                <w:szCs w:val="21"/>
                <w:lang w:val="en-US" w:eastAsia="zh-CN" w:bidi="ar"/>
              </w:rPr>
              <w:t>（协助监测方法选择案例）；</w:t>
            </w:r>
            <w:r>
              <w:rPr>
                <w:rStyle w:val="14"/>
                <w:rFonts w:hint="default" w:ascii="Times New Roman" w:hAnsi="Times New Roman" w:eastAsia="仿宋_GB2312" w:cs="Segoe UI"/>
                <w:b/>
                <w:bCs/>
                <w:i w:val="0"/>
                <w:iCs w:val="0"/>
                <w:caps w:val="0"/>
                <w:color w:val="0F1115"/>
                <w:spacing w:val="0"/>
                <w:kern w:val="0"/>
                <w:sz w:val="21"/>
                <w:szCs w:val="21"/>
                <w:lang w:val="en-US" w:eastAsia="zh-CN" w:bidi="ar"/>
              </w:rPr>
              <w:t>资料汇总</w:t>
            </w:r>
            <w:r>
              <w:rPr>
                <w:rFonts w:hint="default" w:ascii="Times New Roman" w:hAnsi="Times New Roman" w:eastAsia="仿宋_GB2312" w:cs="Segoe UI"/>
                <w:i w:val="0"/>
                <w:iCs w:val="0"/>
                <w:caps w:val="0"/>
                <w:color w:val="0F1115"/>
                <w:spacing w:val="0"/>
                <w:kern w:val="0"/>
                <w:sz w:val="21"/>
                <w:szCs w:val="21"/>
                <w:lang w:val="en-US" w:eastAsia="zh-CN" w:bidi="ar"/>
              </w:rPr>
              <w:t>（调研成果整理）</w:t>
            </w:r>
          </w:p>
        </w:tc>
      </w:tr>
      <w:tr w14:paraId="43DBC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1086" w:hRule="atLeast"/>
          <w:jc w:val="center"/>
        </w:trPr>
        <w:tc>
          <w:tcPr>
            <w:tcW w:w="712" w:type="dxa"/>
            <w:shd w:val="clear" w:color="auto" w:fill="FFFFFF"/>
            <w:tcMar>
              <w:top w:w="150" w:type="dxa"/>
              <w:left w:w="0" w:type="dxa"/>
              <w:bottom w:w="150" w:type="dxa"/>
              <w:right w:w="240" w:type="dxa"/>
            </w:tcMar>
            <w:vAlign w:val="center"/>
          </w:tcPr>
          <w:p w14:paraId="420D253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sz w:val="21"/>
                <w:szCs w:val="21"/>
              </w:rPr>
            </w:pPr>
            <w:r>
              <w:rPr>
                <w:rFonts w:hint="default" w:ascii="Times New Roman" w:hAnsi="Times New Roman" w:eastAsia="仿宋_GB2312" w:cs="Segoe UI"/>
                <w:i w:val="0"/>
                <w:iCs w:val="0"/>
                <w:caps w:val="0"/>
                <w:color w:val="0F1115"/>
                <w:spacing w:val="0"/>
                <w:kern w:val="0"/>
                <w:sz w:val="21"/>
                <w:szCs w:val="21"/>
                <w:lang w:val="en-US" w:eastAsia="zh-CN" w:bidi="ar"/>
              </w:rPr>
              <w:t>24</w:t>
            </w:r>
          </w:p>
        </w:tc>
        <w:tc>
          <w:tcPr>
            <w:tcW w:w="1193" w:type="dxa"/>
            <w:shd w:val="clear" w:color="auto" w:fill="FFFFFF"/>
            <w:tcMar>
              <w:top w:w="150" w:type="dxa"/>
              <w:left w:w="240" w:type="dxa"/>
              <w:bottom w:w="150" w:type="dxa"/>
              <w:right w:w="240" w:type="dxa"/>
            </w:tcMar>
            <w:vAlign w:val="center"/>
          </w:tcPr>
          <w:p w14:paraId="533769B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sz w:val="21"/>
                <w:szCs w:val="21"/>
              </w:rPr>
            </w:pPr>
            <w:r>
              <w:rPr>
                <w:rFonts w:hint="default" w:ascii="Times New Roman" w:hAnsi="Times New Roman" w:eastAsia="仿宋_GB2312" w:cs="Segoe UI"/>
                <w:i w:val="0"/>
                <w:iCs w:val="0"/>
                <w:caps w:val="0"/>
                <w:color w:val="0F1115"/>
                <w:spacing w:val="0"/>
                <w:kern w:val="0"/>
                <w:sz w:val="21"/>
                <w:szCs w:val="21"/>
                <w:lang w:val="en-US" w:eastAsia="zh-CN" w:bidi="ar"/>
              </w:rPr>
              <w:t>洪秋阳</w:t>
            </w:r>
          </w:p>
        </w:tc>
        <w:tc>
          <w:tcPr>
            <w:tcW w:w="2063" w:type="dxa"/>
            <w:shd w:val="clear" w:color="auto" w:fill="FFFFFF"/>
            <w:tcMar>
              <w:top w:w="150" w:type="dxa"/>
              <w:left w:w="240" w:type="dxa"/>
              <w:bottom w:w="150" w:type="dxa"/>
              <w:right w:w="240" w:type="dxa"/>
            </w:tcMar>
            <w:vAlign w:val="center"/>
          </w:tcPr>
          <w:p w14:paraId="114A588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sz w:val="21"/>
                <w:szCs w:val="21"/>
              </w:rPr>
            </w:pPr>
            <w:r>
              <w:rPr>
                <w:rFonts w:hint="default" w:ascii="Times New Roman" w:hAnsi="Times New Roman" w:eastAsia="仿宋_GB2312" w:cs="Segoe UI"/>
                <w:i w:val="0"/>
                <w:iCs w:val="0"/>
                <w:caps w:val="0"/>
                <w:color w:val="0F1115"/>
                <w:spacing w:val="0"/>
                <w:kern w:val="0"/>
                <w:sz w:val="21"/>
                <w:szCs w:val="21"/>
                <w:lang w:val="en-US" w:eastAsia="zh-CN" w:bidi="ar"/>
              </w:rPr>
              <w:t>安徽建筑大学</w:t>
            </w:r>
          </w:p>
        </w:tc>
        <w:tc>
          <w:tcPr>
            <w:tcW w:w="1517" w:type="dxa"/>
            <w:shd w:val="clear" w:color="auto" w:fill="FFFFFF"/>
            <w:tcMar>
              <w:top w:w="150" w:type="dxa"/>
              <w:left w:w="240" w:type="dxa"/>
              <w:bottom w:w="150" w:type="dxa"/>
              <w:right w:w="240" w:type="dxa"/>
            </w:tcMar>
            <w:vAlign w:val="center"/>
          </w:tcPr>
          <w:p w14:paraId="06D3624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kern w:val="0"/>
                <w:sz w:val="21"/>
                <w:szCs w:val="21"/>
                <w:lang w:val="en-US" w:eastAsia="zh-CN" w:bidi="ar"/>
              </w:rPr>
            </w:pPr>
            <w:r>
              <w:rPr>
                <w:rFonts w:hint="eastAsia" w:ascii="Times New Roman" w:hAnsi="Times New Roman" w:eastAsia="仿宋_GB2312" w:cs="Segoe UI"/>
                <w:i w:val="0"/>
                <w:iCs w:val="0"/>
                <w:caps w:val="0"/>
                <w:color w:val="0F1115"/>
                <w:spacing w:val="0"/>
                <w:kern w:val="0"/>
                <w:sz w:val="21"/>
                <w:szCs w:val="21"/>
                <w:lang w:val="en-US" w:eastAsia="zh-CN" w:bidi="ar"/>
              </w:rPr>
              <w:t>岩土工程</w:t>
            </w:r>
          </w:p>
        </w:tc>
        <w:tc>
          <w:tcPr>
            <w:tcW w:w="1380" w:type="dxa"/>
            <w:shd w:val="clear" w:color="auto" w:fill="FFFFFF"/>
            <w:tcMar>
              <w:top w:w="150" w:type="dxa"/>
              <w:left w:w="240" w:type="dxa"/>
              <w:bottom w:w="150" w:type="dxa"/>
              <w:right w:w="240" w:type="dxa"/>
            </w:tcMar>
            <w:vAlign w:val="center"/>
          </w:tcPr>
          <w:p w14:paraId="1A364C3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kern w:val="0"/>
                <w:sz w:val="21"/>
                <w:szCs w:val="21"/>
                <w:lang w:val="en-US" w:eastAsia="zh-CN" w:bidi="ar"/>
              </w:rPr>
            </w:pPr>
            <w:r>
              <w:rPr>
                <w:rFonts w:hint="eastAsia" w:ascii="Times New Roman" w:hAnsi="Times New Roman" w:eastAsia="仿宋_GB2312" w:cs="Segoe UI"/>
                <w:i w:val="0"/>
                <w:iCs w:val="0"/>
                <w:caps w:val="0"/>
                <w:color w:val="0F1115"/>
                <w:spacing w:val="0"/>
                <w:kern w:val="0"/>
                <w:sz w:val="21"/>
                <w:szCs w:val="21"/>
                <w:lang w:val="en-US" w:eastAsia="zh-CN" w:bidi="ar"/>
              </w:rPr>
              <w:t>教授</w:t>
            </w:r>
          </w:p>
        </w:tc>
        <w:tc>
          <w:tcPr>
            <w:tcW w:w="2240" w:type="dxa"/>
            <w:shd w:val="clear" w:color="auto" w:fill="FFFFFF"/>
            <w:tcMar>
              <w:top w:w="150" w:type="dxa"/>
              <w:left w:w="240" w:type="dxa"/>
              <w:bottom w:w="150" w:type="dxa"/>
              <w:right w:w="240" w:type="dxa"/>
            </w:tcMar>
            <w:vAlign w:val="center"/>
          </w:tcPr>
          <w:p w14:paraId="26EA9DA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sz w:val="21"/>
                <w:szCs w:val="21"/>
              </w:rPr>
            </w:pPr>
            <w:r>
              <w:rPr>
                <w:rStyle w:val="14"/>
                <w:rFonts w:hint="default" w:ascii="Times New Roman" w:hAnsi="Times New Roman" w:eastAsia="仿宋_GB2312" w:cs="Segoe UI"/>
                <w:b/>
                <w:bCs/>
                <w:i w:val="0"/>
                <w:iCs w:val="0"/>
                <w:caps w:val="0"/>
                <w:color w:val="0F1115"/>
                <w:spacing w:val="0"/>
                <w:kern w:val="0"/>
                <w:sz w:val="21"/>
                <w:szCs w:val="21"/>
                <w:lang w:val="en-US" w:eastAsia="zh-CN" w:bidi="ar"/>
              </w:rPr>
              <w:t>工程调研</w:t>
            </w:r>
            <w:r>
              <w:rPr>
                <w:rFonts w:hint="default" w:ascii="Times New Roman" w:hAnsi="Times New Roman" w:eastAsia="仿宋_GB2312" w:cs="Segoe UI"/>
                <w:i w:val="0"/>
                <w:iCs w:val="0"/>
                <w:caps w:val="0"/>
                <w:color w:val="0F1115"/>
                <w:spacing w:val="0"/>
                <w:kern w:val="0"/>
                <w:sz w:val="21"/>
                <w:szCs w:val="21"/>
                <w:lang w:val="en-US" w:eastAsia="zh-CN" w:bidi="ar"/>
              </w:rPr>
              <w:t>（传感器安装现场案例）；</w:t>
            </w:r>
            <w:r>
              <w:rPr>
                <w:rStyle w:val="14"/>
                <w:rFonts w:hint="default" w:ascii="Times New Roman" w:hAnsi="Times New Roman" w:eastAsia="仿宋_GB2312" w:cs="Segoe UI"/>
                <w:b/>
                <w:bCs/>
                <w:i w:val="0"/>
                <w:iCs w:val="0"/>
                <w:caps w:val="0"/>
                <w:color w:val="0F1115"/>
                <w:spacing w:val="0"/>
                <w:kern w:val="0"/>
                <w:sz w:val="21"/>
                <w:szCs w:val="21"/>
                <w:lang w:val="en-US" w:eastAsia="zh-CN" w:bidi="ar"/>
              </w:rPr>
              <w:t>资料汇总</w:t>
            </w:r>
            <w:r>
              <w:rPr>
                <w:rFonts w:hint="default" w:ascii="Times New Roman" w:hAnsi="Times New Roman" w:eastAsia="仿宋_GB2312" w:cs="Segoe UI"/>
                <w:i w:val="0"/>
                <w:iCs w:val="0"/>
                <w:caps w:val="0"/>
                <w:color w:val="0F1115"/>
                <w:spacing w:val="0"/>
                <w:kern w:val="0"/>
                <w:sz w:val="21"/>
                <w:szCs w:val="21"/>
                <w:lang w:val="en-US" w:eastAsia="zh-CN" w:bidi="ar"/>
              </w:rPr>
              <w:t>（调研成果整理）</w:t>
            </w:r>
          </w:p>
        </w:tc>
      </w:tr>
      <w:tr w14:paraId="7B4B8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1086" w:hRule="atLeast"/>
          <w:jc w:val="center"/>
        </w:trPr>
        <w:tc>
          <w:tcPr>
            <w:tcW w:w="712" w:type="dxa"/>
            <w:shd w:val="clear" w:color="auto" w:fill="FFFFFF"/>
            <w:tcMar>
              <w:top w:w="150" w:type="dxa"/>
              <w:left w:w="0" w:type="dxa"/>
              <w:bottom w:w="150" w:type="dxa"/>
              <w:right w:w="240" w:type="dxa"/>
            </w:tcMar>
            <w:vAlign w:val="center"/>
          </w:tcPr>
          <w:p w14:paraId="2CA530D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sz w:val="21"/>
                <w:szCs w:val="21"/>
              </w:rPr>
            </w:pPr>
            <w:r>
              <w:rPr>
                <w:rFonts w:hint="default" w:ascii="Times New Roman" w:hAnsi="Times New Roman" w:eastAsia="仿宋_GB2312" w:cs="Segoe UI"/>
                <w:i w:val="0"/>
                <w:iCs w:val="0"/>
                <w:caps w:val="0"/>
                <w:color w:val="0F1115"/>
                <w:spacing w:val="0"/>
                <w:kern w:val="0"/>
                <w:sz w:val="21"/>
                <w:szCs w:val="21"/>
                <w:lang w:val="en-US" w:eastAsia="zh-CN" w:bidi="ar"/>
              </w:rPr>
              <w:t>25</w:t>
            </w:r>
          </w:p>
        </w:tc>
        <w:tc>
          <w:tcPr>
            <w:tcW w:w="1193" w:type="dxa"/>
            <w:shd w:val="clear" w:color="auto" w:fill="FFFFFF"/>
            <w:tcMar>
              <w:top w:w="150" w:type="dxa"/>
              <w:left w:w="240" w:type="dxa"/>
              <w:bottom w:w="150" w:type="dxa"/>
              <w:right w:w="240" w:type="dxa"/>
            </w:tcMar>
            <w:vAlign w:val="center"/>
          </w:tcPr>
          <w:p w14:paraId="660D5D0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sz w:val="21"/>
                <w:szCs w:val="21"/>
              </w:rPr>
            </w:pPr>
            <w:r>
              <w:rPr>
                <w:rFonts w:hint="default" w:ascii="Times New Roman" w:hAnsi="Times New Roman" w:eastAsia="仿宋_GB2312" w:cs="Segoe UI"/>
                <w:i w:val="0"/>
                <w:iCs w:val="0"/>
                <w:caps w:val="0"/>
                <w:color w:val="0F1115"/>
                <w:spacing w:val="0"/>
                <w:kern w:val="0"/>
                <w:sz w:val="21"/>
                <w:szCs w:val="21"/>
                <w:lang w:val="en-US" w:eastAsia="zh-CN" w:bidi="ar"/>
              </w:rPr>
              <w:t>梁波</w:t>
            </w:r>
          </w:p>
        </w:tc>
        <w:tc>
          <w:tcPr>
            <w:tcW w:w="2063" w:type="dxa"/>
            <w:shd w:val="clear" w:color="auto" w:fill="FFFFFF"/>
            <w:tcMar>
              <w:top w:w="150" w:type="dxa"/>
              <w:left w:w="240" w:type="dxa"/>
              <w:bottom w:w="150" w:type="dxa"/>
              <w:right w:w="240" w:type="dxa"/>
            </w:tcMar>
            <w:vAlign w:val="center"/>
          </w:tcPr>
          <w:p w14:paraId="375D35B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sz w:val="21"/>
                <w:szCs w:val="21"/>
              </w:rPr>
            </w:pPr>
            <w:r>
              <w:rPr>
                <w:rFonts w:hint="default" w:ascii="Times New Roman" w:hAnsi="Times New Roman" w:eastAsia="仿宋_GB2312" w:cs="Segoe UI"/>
                <w:i w:val="0"/>
                <w:iCs w:val="0"/>
                <w:caps w:val="0"/>
                <w:color w:val="0F1115"/>
                <w:spacing w:val="0"/>
                <w:kern w:val="0"/>
                <w:sz w:val="21"/>
                <w:szCs w:val="21"/>
                <w:lang w:val="en-US" w:eastAsia="zh-CN" w:bidi="ar"/>
              </w:rPr>
              <w:t>苏交科集团股份有限公司</w:t>
            </w:r>
          </w:p>
        </w:tc>
        <w:tc>
          <w:tcPr>
            <w:tcW w:w="1517" w:type="dxa"/>
            <w:shd w:val="clear" w:color="auto" w:fill="FFFFFF"/>
            <w:tcMar>
              <w:top w:w="150" w:type="dxa"/>
              <w:left w:w="240" w:type="dxa"/>
              <w:bottom w:w="150" w:type="dxa"/>
              <w:right w:w="240" w:type="dxa"/>
            </w:tcMar>
            <w:vAlign w:val="center"/>
          </w:tcPr>
          <w:p w14:paraId="2933E8A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kern w:val="0"/>
                <w:sz w:val="21"/>
                <w:szCs w:val="21"/>
                <w:lang w:val="en-US" w:eastAsia="zh-CN" w:bidi="ar"/>
              </w:rPr>
            </w:pPr>
            <w:r>
              <w:rPr>
                <w:rFonts w:hint="eastAsia" w:ascii="Times New Roman" w:hAnsi="Times New Roman" w:eastAsia="仿宋_GB2312" w:cs="Segoe UI"/>
                <w:i w:val="0"/>
                <w:iCs w:val="0"/>
                <w:caps w:val="0"/>
                <w:color w:val="0F1115"/>
                <w:spacing w:val="0"/>
                <w:kern w:val="0"/>
                <w:sz w:val="21"/>
                <w:szCs w:val="21"/>
                <w:lang w:val="en-US" w:eastAsia="zh-CN" w:bidi="ar"/>
              </w:rPr>
              <w:t>公路工程</w:t>
            </w:r>
          </w:p>
        </w:tc>
        <w:tc>
          <w:tcPr>
            <w:tcW w:w="1380" w:type="dxa"/>
            <w:shd w:val="clear" w:color="auto" w:fill="FFFFFF"/>
            <w:tcMar>
              <w:top w:w="150" w:type="dxa"/>
              <w:left w:w="240" w:type="dxa"/>
              <w:bottom w:w="150" w:type="dxa"/>
              <w:right w:w="240" w:type="dxa"/>
            </w:tcMar>
            <w:vAlign w:val="center"/>
          </w:tcPr>
          <w:p w14:paraId="2793889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kern w:val="0"/>
                <w:sz w:val="21"/>
                <w:szCs w:val="21"/>
                <w:lang w:val="en-US" w:eastAsia="zh-CN" w:bidi="ar"/>
              </w:rPr>
            </w:pPr>
            <w:r>
              <w:rPr>
                <w:rFonts w:hint="eastAsia" w:ascii="Times New Roman" w:hAnsi="Times New Roman" w:eastAsia="仿宋_GB2312" w:cs="Segoe UI"/>
                <w:i w:val="0"/>
                <w:iCs w:val="0"/>
                <w:caps w:val="0"/>
                <w:color w:val="0F1115"/>
                <w:spacing w:val="0"/>
                <w:kern w:val="0"/>
                <w:sz w:val="21"/>
                <w:szCs w:val="21"/>
                <w:lang w:val="en-US" w:eastAsia="zh-CN" w:bidi="ar"/>
              </w:rPr>
              <w:t>工程师</w:t>
            </w:r>
          </w:p>
        </w:tc>
        <w:tc>
          <w:tcPr>
            <w:tcW w:w="2240" w:type="dxa"/>
            <w:shd w:val="clear" w:color="auto" w:fill="FFFFFF"/>
            <w:tcMar>
              <w:top w:w="150" w:type="dxa"/>
              <w:left w:w="240" w:type="dxa"/>
              <w:bottom w:w="150" w:type="dxa"/>
              <w:right w:w="240" w:type="dxa"/>
            </w:tcMar>
            <w:vAlign w:val="center"/>
          </w:tcPr>
          <w:p w14:paraId="2A7AFF8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sz w:val="21"/>
                <w:szCs w:val="21"/>
              </w:rPr>
            </w:pPr>
            <w:r>
              <w:rPr>
                <w:rStyle w:val="14"/>
                <w:rFonts w:hint="default" w:ascii="Times New Roman" w:hAnsi="Times New Roman" w:eastAsia="仿宋_GB2312" w:cs="Segoe UI"/>
                <w:b/>
                <w:bCs/>
                <w:i w:val="0"/>
                <w:iCs w:val="0"/>
                <w:caps w:val="0"/>
                <w:color w:val="0F1115"/>
                <w:spacing w:val="0"/>
                <w:kern w:val="0"/>
                <w:sz w:val="21"/>
                <w:szCs w:val="21"/>
                <w:lang w:val="en-US" w:eastAsia="zh-CN" w:bidi="ar"/>
              </w:rPr>
              <w:t>资料调研</w:t>
            </w:r>
            <w:r>
              <w:rPr>
                <w:rFonts w:hint="default" w:ascii="Times New Roman" w:hAnsi="Times New Roman" w:eastAsia="仿宋_GB2312" w:cs="Segoe UI"/>
                <w:i w:val="0"/>
                <w:iCs w:val="0"/>
                <w:caps w:val="0"/>
                <w:color w:val="0F1115"/>
                <w:spacing w:val="0"/>
                <w:kern w:val="0"/>
                <w:sz w:val="21"/>
                <w:szCs w:val="21"/>
                <w:lang w:val="en-US" w:eastAsia="zh-CN" w:bidi="ar"/>
              </w:rPr>
              <w:t>（设备环境适应性、通信协议）；</w:t>
            </w:r>
            <w:r>
              <w:rPr>
                <w:rStyle w:val="14"/>
                <w:rFonts w:hint="default" w:ascii="Times New Roman" w:hAnsi="Times New Roman" w:eastAsia="仿宋_GB2312" w:cs="Segoe UI"/>
                <w:b/>
                <w:bCs/>
                <w:i w:val="0"/>
                <w:iCs w:val="0"/>
                <w:caps w:val="0"/>
                <w:color w:val="0F1115"/>
                <w:spacing w:val="0"/>
                <w:kern w:val="0"/>
                <w:sz w:val="21"/>
                <w:szCs w:val="21"/>
                <w:lang w:val="en-US" w:eastAsia="zh-CN" w:bidi="ar"/>
              </w:rPr>
              <w:t>标准检查</w:t>
            </w:r>
          </w:p>
        </w:tc>
      </w:tr>
      <w:tr w14:paraId="73F27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098" w:hRule="atLeast"/>
          <w:jc w:val="center"/>
        </w:trPr>
        <w:tc>
          <w:tcPr>
            <w:tcW w:w="712" w:type="dxa"/>
            <w:shd w:val="clear" w:color="auto" w:fill="FFFFFF"/>
            <w:tcMar>
              <w:top w:w="150" w:type="dxa"/>
              <w:left w:w="0" w:type="dxa"/>
              <w:bottom w:w="150" w:type="dxa"/>
              <w:right w:w="240" w:type="dxa"/>
            </w:tcMar>
            <w:vAlign w:val="center"/>
          </w:tcPr>
          <w:p w14:paraId="6AB4B70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sz w:val="21"/>
                <w:szCs w:val="21"/>
              </w:rPr>
            </w:pPr>
            <w:r>
              <w:rPr>
                <w:rFonts w:hint="default" w:ascii="Times New Roman" w:hAnsi="Times New Roman" w:eastAsia="仿宋_GB2312" w:cs="Segoe UI"/>
                <w:i w:val="0"/>
                <w:iCs w:val="0"/>
                <w:caps w:val="0"/>
                <w:color w:val="0F1115"/>
                <w:spacing w:val="0"/>
                <w:kern w:val="0"/>
                <w:sz w:val="21"/>
                <w:szCs w:val="21"/>
                <w:lang w:val="en-US" w:eastAsia="zh-CN" w:bidi="ar"/>
              </w:rPr>
              <w:t>26</w:t>
            </w:r>
          </w:p>
        </w:tc>
        <w:tc>
          <w:tcPr>
            <w:tcW w:w="1193" w:type="dxa"/>
            <w:shd w:val="clear" w:color="auto" w:fill="FFFFFF"/>
            <w:tcMar>
              <w:top w:w="150" w:type="dxa"/>
              <w:left w:w="240" w:type="dxa"/>
              <w:bottom w:w="150" w:type="dxa"/>
              <w:right w:w="240" w:type="dxa"/>
            </w:tcMar>
            <w:vAlign w:val="center"/>
          </w:tcPr>
          <w:p w14:paraId="066EEFC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sz w:val="21"/>
                <w:szCs w:val="21"/>
              </w:rPr>
            </w:pPr>
            <w:r>
              <w:rPr>
                <w:rFonts w:hint="default" w:ascii="Times New Roman" w:hAnsi="Times New Roman" w:eastAsia="仿宋_GB2312" w:cs="Segoe UI"/>
                <w:i w:val="0"/>
                <w:iCs w:val="0"/>
                <w:caps w:val="0"/>
                <w:color w:val="0F1115"/>
                <w:spacing w:val="0"/>
                <w:kern w:val="0"/>
                <w:sz w:val="21"/>
                <w:szCs w:val="21"/>
                <w:lang w:val="en-US" w:eastAsia="zh-CN" w:bidi="ar"/>
              </w:rPr>
              <w:t>承宇</w:t>
            </w:r>
          </w:p>
        </w:tc>
        <w:tc>
          <w:tcPr>
            <w:tcW w:w="2063" w:type="dxa"/>
            <w:shd w:val="clear" w:color="auto" w:fill="FFFFFF"/>
            <w:tcMar>
              <w:top w:w="150" w:type="dxa"/>
              <w:left w:w="240" w:type="dxa"/>
              <w:bottom w:w="150" w:type="dxa"/>
              <w:right w:w="240" w:type="dxa"/>
            </w:tcMar>
            <w:vAlign w:val="center"/>
          </w:tcPr>
          <w:p w14:paraId="5F3AA24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sz w:val="21"/>
                <w:szCs w:val="21"/>
              </w:rPr>
            </w:pPr>
            <w:r>
              <w:rPr>
                <w:rFonts w:hint="default" w:ascii="Times New Roman" w:hAnsi="Times New Roman" w:eastAsia="仿宋_GB2312" w:cs="Segoe UI"/>
                <w:i w:val="0"/>
                <w:iCs w:val="0"/>
                <w:caps w:val="0"/>
                <w:color w:val="0F1115"/>
                <w:spacing w:val="0"/>
                <w:kern w:val="0"/>
                <w:sz w:val="21"/>
                <w:szCs w:val="21"/>
                <w:lang w:val="en-US" w:eastAsia="zh-CN" w:bidi="ar"/>
              </w:rPr>
              <w:t>苏交科集团股份有限公司</w:t>
            </w:r>
          </w:p>
        </w:tc>
        <w:tc>
          <w:tcPr>
            <w:tcW w:w="1517" w:type="dxa"/>
            <w:shd w:val="clear" w:color="auto" w:fill="FFFFFF"/>
            <w:tcMar>
              <w:top w:w="150" w:type="dxa"/>
              <w:left w:w="240" w:type="dxa"/>
              <w:bottom w:w="150" w:type="dxa"/>
              <w:right w:w="240" w:type="dxa"/>
            </w:tcMar>
            <w:vAlign w:val="center"/>
          </w:tcPr>
          <w:p w14:paraId="1584B5C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kern w:val="0"/>
                <w:sz w:val="21"/>
                <w:szCs w:val="21"/>
                <w:lang w:val="en-US" w:eastAsia="zh-CN" w:bidi="ar"/>
              </w:rPr>
            </w:pPr>
            <w:r>
              <w:rPr>
                <w:rFonts w:hint="eastAsia" w:ascii="Times New Roman" w:hAnsi="Times New Roman" w:eastAsia="仿宋_GB2312" w:cs="Segoe UI"/>
                <w:i w:val="0"/>
                <w:iCs w:val="0"/>
                <w:caps w:val="0"/>
                <w:color w:val="0F1115"/>
                <w:spacing w:val="0"/>
                <w:kern w:val="0"/>
                <w:sz w:val="21"/>
                <w:szCs w:val="21"/>
                <w:lang w:val="en-US" w:eastAsia="zh-CN" w:bidi="ar"/>
              </w:rPr>
              <w:t>公路工程</w:t>
            </w:r>
          </w:p>
        </w:tc>
        <w:tc>
          <w:tcPr>
            <w:tcW w:w="1380" w:type="dxa"/>
            <w:shd w:val="clear" w:color="auto" w:fill="FFFFFF"/>
            <w:tcMar>
              <w:top w:w="150" w:type="dxa"/>
              <w:left w:w="240" w:type="dxa"/>
              <w:bottom w:w="150" w:type="dxa"/>
              <w:right w:w="240" w:type="dxa"/>
            </w:tcMar>
            <w:vAlign w:val="center"/>
          </w:tcPr>
          <w:p w14:paraId="0493D9D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kern w:val="0"/>
                <w:sz w:val="21"/>
                <w:szCs w:val="21"/>
                <w:lang w:val="en-US" w:eastAsia="zh-CN" w:bidi="ar"/>
              </w:rPr>
            </w:pPr>
            <w:r>
              <w:rPr>
                <w:rFonts w:hint="eastAsia" w:ascii="Times New Roman" w:hAnsi="Times New Roman" w:eastAsia="仿宋_GB2312" w:cs="Segoe UI"/>
                <w:i w:val="0"/>
                <w:iCs w:val="0"/>
                <w:caps w:val="0"/>
                <w:color w:val="0F1115"/>
                <w:spacing w:val="0"/>
                <w:kern w:val="0"/>
                <w:sz w:val="21"/>
                <w:szCs w:val="21"/>
                <w:lang w:val="en-US" w:eastAsia="zh-CN" w:bidi="ar"/>
              </w:rPr>
              <w:t>工程师</w:t>
            </w:r>
          </w:p>
        </w:tc>
        <w:tc>
          <w:tcPr>
            <w:tcW w:w="2240" w:type="dxa"/>
            <w:shd w:val="clear" w:color="auto" w:fill="FFFFFF"/>
            <w:tcMar>
              <w:top w:w="150" w:type="dxa"/>
              <w:left w:w="240" w:type="dxa"/>
              <w:bottom w:w="150" w:type="dxa"/>
              <w:right w:w="240" w:type="dxa"/>
            </w:tcMar>
            <w:vAlign w:val="center"/>
          </w:tcPr>
          <w:p w14:paraId="6003E11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Segoe UI"/>
                <w:i w:val="0"/>
                <w:iCs w:val="0"/>
                <w:caps w:val="0"/>
                <w:color w:val="0F1115"/>
                <w:spacing w:val="0"/>
                <w:sz w:val="21"/>
                <w:szCs w:val="21"/>
              </w:rPr>
            </w:pPr>
            <w:r>
              <w:rPr>
                <w:rStyle w:val="14"/>
                <w:rFonts w:hint="default" w:ascii="Times New Roman" w:hAnsi="Times New Roman" w:eastAsia="仿宋_GB2312" w:cs="Segoe UI"/>
                <w:b/>
                <w:bCs/>
                <w:i w:val="0"/>
                <w:iCs w:val="0"/>
                <w:caps w:val="0"/>
                <w:color w:val="0F1115"/>
                <w:spacing w:val="0"/>
                <w:kern w:val="0"/>
                <w:sz w:val="21"/>
                <w:szCs w:val="21"/>
                <w:lang w:val="en-US" w:eastAsia="zh-CN" w:bidi="ar"/>
              </w:rPr>
              <w:t>工程调研</w:t>
            </w:r>
            <w:r>
              <w:rPr>
                <w:rFonts w:hint="default" w:ascii="Times New Roman" w:hAnsi="Times New Roman" w:eastAsia="仿宋_GB2312" w:cs="Segoe UI"/>
                <w:i w:val="0"/>
                <w:iCs w:val="0"/>
                <w:caps w:val="0"/>
                <w:color w:val="0F1115"/>
                <w:spacing w:val="0"/>
                <w:kern w:val="0"/>
                <w:sz w:val="21"/>
                <w:szCs w:val="21"/>
                <w:lang w:val="en-US" w:eastAsia="zh-CN" w:bidi="ar"/>
              </w:rPr>
              <w:t>（设备安装与验收案例）；</w:t>
            </w:r>
            <w:r>
              <w:rPr>
                <w:rStyle w:val="14"/>
                <w:rFonts w:hint="default" w:ascii="Times New Roman" w:hAnsi="Times New Roman" w:eastAsia="仿宋_GB2312" w:cs="Segoe UI"/>
                <w:b/>
                <w:bCs/>
                <w:i w:val="0"/>
                <w:iCs w:val="0"/>
                <w:caps w:val="0"/>
                <w:color w:val="0F1115"/>
                <w:spacing w:val="0"/>
                <w:kern w:val="0"/>
                <w:sz w:val="21"/>
                <w:szCs w:val="21"/>
                <w:lang w:val="en-US" w:eastAsia="zh-CN" w:bidi="ar"/>
              </w:rPr>
              <w:t>资料汇总</w:t>
            </w:r>
            <w:r>
              <w:rPr>
                <w:rFonts w:hint="default" w:ascii="Times New Roman" w:hAnsi="Times New Roman" w:eastAsia="仿宋_GB2312" w:cs="Segoe UI"/>
                <w:i w:val="0"/>
                <w:iCs w:val="0"/>
                <w:caps w:val="0"/>
                <w:color w:val="0F1115"/>
                <w:spacing w:val="0"/>
                <w:kern w:val="0"/>
                <w:sz w:val="21"/>
                <w:szCs w:val="21"/>
                <w:lang w:val="en-US" w:eastAsia="zh-CN" w:bidi="ar"/>
              </w:rPr>
              <w:t>（调研成果整理）</w:t>
            </w:r>
          </w:p>
        </w:tc>
      </w:tr>
    </w:tbl>
    <w:p w14:paraId="046A7C1B">
      <w:pPr>
        <w:pStyle w:val="16"/>
        <w:keepNext w:val="0"/>
        <w:keepLines w:val="0"/>
        <w:pageBreakBefore w:val="0"/>
        <w:widowControl w:val="0"/>
        <w:kinsoku/>
        <w:wordWrap/>
        <w:overflowPunct/>
        <w:topLinePunct w:val="0"/>
        <w:autoSpaceDE/>
        <w:autoSpaceDN/>
        <w:bidi w:val="0"/>
        <w:adjustRightInd/>
        <w:snapToGrid/>
        <w:spacing w:line="360" w:lineRule="auto"/>
        <w:ind w:left="0" w:leftChars="0" w:firstLine="640" w:firstLineChars="200"/>
        <w:jc w:val="left"/>
        <w:textAlignment w:val="auto"/>
        <w:rPr>
          <w:rFonts w:hint="eastAsia" w:ascii="Times New Roman" w:hAnsi="Times New Roman" w:eastAsia="仿宋_GB2312"/>
          <w:sz w:val="32"/>
          <w:szCs w:val="32"/>
          <w:lang w:val="en-US" w:eastAsia="zh-CN"/>
        </w:rPr>
      </w:pPr>
    </w:p>
    <w:sectPr>
      <w:footerReference r:id="rId5"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F379EF2-7724-484C-AEAD-2C892B468A9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embedRegular r:id="rId2" w:fontKey="{D837B318-E37F-40CD-9622-E47D74574BDA}"/>
  </w:font>
  <w:font w:name="方正小标宋简体">
    <w:panose1 w:val="02000000000000000000"/>
    <w:charset w:val="86"/>
    <w:family w:val="auto"/>
    <w:pitch w:val="default"/>
    <w:sig w:usb0="00000001" w:usb1="08000000" w:usb2="00000000" w:usb3="00000000" w:csb0="00040000" w:csb1="00000000"/>
    <w:embedRegular r:id="rId3" w:fontKey="{74A63CF0-2DB8-47E1-A66C-9CE65419B194}"/>
  </w:font>
  <w:font w:name="楷体_GB2312">
    <w:panose1 w:val="02010609030101010101"/>
    <w:charset w:val="86"/>
    <w:family w:val="auto"/>
    <w:pitch w:val="default"/>
    <w:sig w:usb0="00000001" w:usb1="080E0000" w:usb2="00000000" w:usb3="00000000" w:csb0="00040000" w:csb1="00000000"/>
    <w:embedRegular r:id="rId4" w:fontKey="{A9598DD0-7E19-4907-9A54-9B011F48570F}"/>
  </w:font>
  <w:font w:name="Segoe UI">
    <w:panose1 w:val="020B0502040204020203"/>
    <w:charset w:val="00"/>
    <w:family w:val="auto"/>
    <w:pitch w:val="default"/>
    <w:sig w:usb0="E4002EFF" w:usb1="C000E47F" w:usb2="00000009" w:usb3="00000000" w:csb0="200001FF" w:csb1="00000000"/>
    <w:embedRegular r:id="rId5" w:fontKey="{7F35FD2C-6E0B-41F2-A953-40A316B8E3E2}"/>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2C3F04">
    <w:pPr>
      <w:pStyle w:val="6"/>
      <w:jc w:val="right"/>
      <w:rPr>
        <w:rFonts w:hint="default" w:ascii="Times New Roman" w:hAnsi="Times New Roman" w:cs="Times New Roman"/>
      </w:rPr>
    </w:pPr>
  </w:p>
  <w:p w14:paraId="015AD58B">
    <w:pPr>
      <w:pStyle w:val="6"/>
      <w:rPr>
        <w:rFonts w:hint="default" w:ascii="Times New Roman" w:hAnsi="Times New Roman"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062AA5">
    <w:pPr>
      <w:pStyle w:val="6"/>
      <w:jc w:val="right"/>
      <w:rPr>
        <w:rFonts w:hint="default" w:ascii="Times New Roman" w:hAnsi="Times New Roman" w:cs="Times New Roman"/>
      </w:rPr>
    </w:pPr>
  </w:p>
  <w:p w14:paraId="5D5C04A7">
    <w:pPr>
      <w:pStyle w:val="6"/>
      <w:rPr>
        <w:rFonts w:hint="default" w:ascii="Times New Roman" w:hAnsi="Times New Roman" w:cs="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2A8F9D">
    <w:pPr>
      <w:pStyle w:val="6"/>
      <w:jc w:val="right"/>
      <w:rPr>
        <w:rFonts w:hint="default" w:ascii="Times New Roman" w:hAnsi="Times New Roman" w:cs="Times New Roma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77503"/>
                          </w:sdtPr>
                          <w:sdtEndPr>
                            <w:rPr>
                              <w:rFonts w:hint="default" w:ascii="Times New Roman" w:hAnsi="Times New Roman" w:cs="Times New Roman"/>
                            </w:rPr>
                          </w:sdtEndPr>
                          <w:sdtContent>
                            <w:p w14:paraId="549882A3">
                              <w:pPr>
                                <w:pStyle w:val="6"/>
                                <w:jc w:val="right"/>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PAGE   \* MERGEFORMAT</w:instrText>
                              </w:r>
                              <w:r>
                                <w:rPr>
                                  <w:rFonts w:hint="default" w:ascii="Times New Roman" w:hAnsi="Times New Roman" w:cs="Times New Roman"/>
                                </w:rPr>
                                <w:fldChar w:fldCharType="separate"/>
                              </w:r>
                              <w:r>
                                <w:rPr>
                                  <w:rFonts w:hint="default" w:ascii="Times New Roman" w:hAnsi="Times New Roman" w:cs="Times New Roman"/>
                                  <w:lang w:val="zh-CN"/>
                                </w:rPr>
                                <w:t>9</w:t>
                              </w:r>
                              <w:r>
                                <w:rPr>
                                  <w:rFonts w:hint="default" w:ascii="Times New Roman" w:hAnsi="Times New Roman" w:cs="Times New Roman"/>
                                </w:rPr>
                                <w:fldChar w:fldCharType="end"/>
                              </w:r>
                            </w:p>
                          </w:sdtContent>
                        </w:sdt>
                        <w:p w14:paraId="76AF0E86">
                          <w:pPr>
                            <w:rPr>
                              <w:rFonts w:hint="default" w:ascii="Times New Roman" w:hAnsi="Times New Roman" w:cs="Times New Roma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sdt>
                    <w:sdtPr>
                      <w:id w:val="147477503"/>
                    </w:sdtPr>
                    <w:sdtEndPr>
                      <w:rPr>
                        <w:rFonts w:hint="default" w:ascii="Times New Roman" w:hAnsi="Times New Roman" w:cs="Times New Roman"/>
                      </w:rPr>
                    </w:sdtEndPr>
                    <w:sdtContent>
                      <w:p w14:paraId="549882A3">
                        <w:pPr>
                          <w:pStyle w:val="6"/>
                          <w:jc w:val="right"/>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PAGE   \* MERGEFORMAT</w:instrText>
                        </w:r>
                        <w:r>
                          <w:rPr>
                            <w:rFonts w:hint="default" w:ascii="Times New Roman" w:hAnsi="Times New Roman" w:cs="Times New Roman"/>
                          </w:rPr>
                          <w:fldChar w:fldCharType="separate"/>
                        </w:r>
                        <w:r>
                          <w:rPr>
                            <w:rFonts w:hint="default" w:ascii="Times New Roman" w:hAnsi="Times New Roman" w:cs="Times New Roman"/>
                            <w:lang w:val="zh-CN"/>
                          </w:rPr>
                          <w:t>9</w:t>
                        </w:r>
                        <w:r>
                          <w:rPr>
                            <w:rFonts w:hint="default" w:ascii="Times New Roman" w:hAnsi="Times New Roman" w:cs="Times New Roman"/>
                          </w:rPr>
                          <w:fldChar w:fldCharType="end"/>
                        </w:r>
                      </w:p>
                    </w:sdtContent>
                  </w:sdt>
                  <w:p w14:paraId="76AF0E86">
                    <w:pPr>
                      <w:rPr>
                        <w:rFonts w:hint="default" w:ascii="Times New Roman" w:hAnsi="Times New Roman" w:cs="Times New Roman"/>
                      </w:rPr>
                    </w:pPr>
                  </w:p>
                </w:txbxContent>
              </v:textbox>
            </v:shape>
          </w:pict>
        </mc:Fallback>
      </mc:AlternateContent>
    </w:r>
  </w:p>
  <w:p w14:paraId="1BFC16DF">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845D18"/>
    <w:multiLevelType w:val="singleLevel"/>
    <w:tmpl w:val="1F845D18"/>
    <w:lvl w:ilvl="0" w:tentative="0">
      <w:start w:val="1"/>
      <w:numFmt w:val="bullet"/>
      <w:lvlText w:val=""/>
      <w:lvlJc w:val="left"/>
      <w:pPr>
        <w:tabs>
          <w:tab w:val="left" w:pos="170"/>
        </w:tabs>
        <w:ind w:left="170" w:leftChars="0" w:hanging="170" w:firstLineChars="0"/>
      </w:pPr>
      <w:rPr>
        <w:rFonts w:hint="default" w:ascii="Wingdings" w:hAnsi="Wingdings" w:cs="Wingdings"/>
        <w:sz w:val="18"/>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embedTrueTypeFonts/>
  <w:saveSubsetFonts/>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NmOTU0ZWUwZmM4MTJhM2U1NmNkOTJhZjIxNjdmZjcifQ=="/>
  </w:docVars>
  <w:rsids>
    <w:rsidRoot w:val="00172A27"/>
    <w:rsid w:val="000052B6"/>
    <w:rsid w:val="00012AAB"/>
    <w:rsid w:val="000158C8"/>
    <w:rsid w:val="00023F95"/>
    <w:rsid w:val="0005017C"/>
    <w:rsid w:val="00072DA2"/>
    <w:rsid w:val="000869C3"/>
    <w:rsid w:val="000A123F"/>
    <w:rsid w:val="000C2555"/>
    <w:rsid w:val="000D7460"/>
    <w:rsid w:val="000E7272"/>
    <w:rsid w:val="000F3C6E"/>
    <w:rsid w:val="001020C7"/>
    <w:rsid w:val="00103CB5"/>
    <w:rsid w:val="001371EC"/>
    <w:rsid w:val="00140908"/>
    <w:rsid w:val="00146644"/>
    <w:rsid w:val="0015109A"/>
    <w:rsid w:val="00154A20"/>
    <w:rsid w:val="001572C3"/>
    <w:rsid w:val="00166771"/>
    <w:rsid w:val="00172A27"/>
    <w:rsid w:val="001B59C8"/>
    <w:rsid w:val="001D33AB"/>
    <w:rsid w:val="001F4165"/>
    <w:rsid w:val="00206487"/>
    <w:rsid w:val="00224331"/>
    <w:rsid w:val="00235114"/>
    <w:rsid w:val="00243E85"/>
    <w:rsid w:val="0025256F"/>
    <w:rsid w:val="0026308E"/>
    <w:rsid w:val="00270F2F"/>
    <w:rsid w:val="00292F4C"/>
    <w:rsid w:val="002B5FFB"/>
    <w:rsid w:val="002C07E0"/>
    <w:rsid w:val="002C406D"/>
    <w:rsid w:val="002C60C9"/>
    <w:rsid w:val="002D07E6"/>
    <w:rsid w:val="002D0E29"/>
    <w:rsid w:val="002E1DE8"/>
    <w:rsid w:val="002E41EF"/>
    <w:rsid w:val="002E6ACA"/>
    <w:rsid w:val="003245AB"/>
    <w:rsid w:val="00333752"/>
    <w:rsid w:val="00333A04"/>
    <w:rsid w:val="00333B82"/>
    <w:rsid w:val="003364B8"/>
    <w:rsid w:val="00383411"/>
    <w:rsid w:val="0038524E"/>
    <w:rsid w:val="003A58EF"/>
    <w:rsid w:val="003A747B"/>
    <w:rsid w:val="003B1FD0"/>
    <w:rsid w:val="003C6DD3"/>
    <w:rsid w:val="003D0E8D"/>
    <w:rsid w:val="003E5A24"/>
    <w:rsid w:val="00400ABE"/>
    <w:rsid w:val="004041EB"/>
    <w:rsid w:val="00412A0F"/>
    <w:rsid w:val="00416C19"/>
    <w:rsid w:val="004559A5"/>
    <w:rsid w:val="00464D93"/>
    <w:rsid w:val="004677CC"/>
    <w:rsid w:val="00482948"/>
    <w:rsid w:val="004C0A9C"/>
    <w:rsid w:val="00506C2B"/>
    <w:rsid w:val="00516F15"/>
    <w:rsid w:val="00520BEB"/>
    <w:rsid w:val="00524AD8"/>
    <w:rsid w:val="0053673E"/>
    <w:rsid w:val="005465B4"/>
    <w:rsid w:val="00556A72"/>
    <w:rsid w:val="00563EA3"/>
    <w:rsid w:val="00592D8B"/>
    <w:rsid w:val="005E6B56"/>
    <w:rsid w:val="005E7355"/>
    <w:rsid w:val="005F63FF"/>
    <w:rsid w:val="00601EE7"/>
    <w:rsid w:val="00607AAC"/>
    <w:rsid w:val="006136F5"/>
    <w:rsid w:val="00627CE8"/>
    <w:rsid w:val="00634261"/>
    <w:rsid w:val="00636A4C"/>
    <w:rsid w:val="006441DD"/>
    <w:rsid w:val="006521D7"/>
    <w:rsid w:val="00671FD5"/>
    <w:rsid w:val="006824F8"/>
    <w:rsid w:val="00684626"/>
    <w:rsid w:val="00694FF9"/>
    <w:rsid w:val="006A1A4F"/>
    <w:rsid w:val="006A463C"/>
    <w:rsid w:val="006B4275"/>
    <w:rsid w:val="006C4747"/>
    <w:rsid w:val="006E5641"/>
    <w:rsid w:val="006E62D0"/>
    <w:rsid w:val="006F44CA"/>
    <w:rsid w:val="00700235"/>
    <w:rsid w:val="00701019"/>
    <w:rsid w:val="00703DFE"/>
    <w:rsid w:val="007075EF"/>
    <w:rsid w:val="007210C3"/>
    <w:rsid w:val="00733ECE"/>
    <w:rsid w:val="00740979"/>
    <w:rsid w:val="00744004"/>
    <w:rsid w:val="007A04F6"/>
    <w:rsid w:val="007C65A5"/>
    <w:rsid w:val="007E5E58"/>
    <w:rsid w:val="008028EB"/>
    <w:rsid w:val="008156B0"/>
    <w:rsid w:val="008377A8"/>
    <w:rsid w:val="00860F53"/>
    <w:rsid w:val="00886A50"/>
    <w:rsid w:val="008D0169"/>
    <w:rsid w:val="008D5F4E"/>
    <w:rsid w:val="008D6BBE"/>
    <w:rsid w:val="008F444B"/>
    <w:rsid w:val="0091418B"/>
    <w:rsid w:val="00930E95"/>
    <w:rsid w:val="00933EAE"/>
    <w:rsid w:val="00946F83"/>
    <w:rsid w:val="009648F5"/>
    <w:rsid w:val="00970A9E"/>
    <w:rsid w:val="00977481"/>
    <w:rsid w:val="009A4488"/>
    <w:rsid w:val="009C1FAF"/>
    <w:rsid w:val="009E62F4"/>
    <w:rsid w:val="009F5906"/>
    <w:rsid w:val="00A2047B"/>
    <w:rsid w:val="00A44052"/>
    <w:rsid w:val="00A53F69"/>
    <w:rsid w:val="00A72E3D"/>
    <w:rsid w:val="00A75517"/>
    <w:rsid w:val="00A8332D"/>
    <w:rsid w:val="00A95639"/>
    <w:rsid w:val="00AB2030"/>
    <w:rsid w:val="00AC5EDE"/>
    <w:rsid w:val="00AD2573"/>
    <w:rsid w:val="00AD458B"/>
    <w:rsid w:val="00AF30E7"/>
    <w:rsid w:val="00B117DD"/>
    <w:rsid w:val="00B4010B"/>
    <w:rsid w:val="00B722EE"/>
    <w:rsid w:val="00B8541C"/>
    <w:rsid w:val="00BC3FE7"/>
    <w:rsid w:val="00BC5A2F"/>
    <w:rsid w:val="00BF6352"/>
    <w:rsid w:val="00C06279"/>
    <w:rsid w:val="00C30C37"/>
    <w:rsid w:val="00C3194E"/>
    <w:rsid w:val="00C54ED9"/>
    <w:rsid w:val="00C55D6F"/>
    <w:rsid w:val="00C63E95"/>
    <w:rsid w:val="00C64D09"/>
    <w:rsid w:val="00C75E7E"/>
    <w:rsid w:val="00C852D8"/>
    <w:rsid w:val="00C90DD7"/>
    <w:rsid w:val="00C926CD"/>
    <w:rsid w:val="00CC3EBA"/>
    <w:rsid w:val="00CE34EA"/>
    <w:rsid w:val="00D11215"/>
    <w:rsid w:val="00D140D8"/>
    <w:rsid w:val="00D44B86"/>
    <w:rsid w:val="00D54548"/>
    <w:rsid w:val="00D60FF8"/>
    <w:rsid w:val="00D627DB"/>
    <w:rsid w:val="00D82DC1"/>
    <w:rsid w:val="00D84BA6"/>
    <w:rsid w:val="00D85567"/>
    <w:rsid w:val="00DB29EA"/>
    <w:rsid w:val="00DC6831"/>
    <w:rsid w:val="00DC7E7D"/>
    <w:rsid w:val="00DE26B6"/>
    <w:rsid w:val="00DE317C"/>
    <w:rsid w:val="00E279AD"/>
    <w:rsid w:val="00E32179"/>
    <w:rsid w:val="00E471F0"/>
    <w:rsid w:val="00E50012"/>
    <w:rsid w:val="00E52223"/>
    <w:rsid w:val="00E71325"/>
    <w:rsid w:val="00EA1F23"/>
    <w:rsid w:val="00EB44BF"/>
    <w:rsid w:val="00EB6371"/>
    <w:rsid w:val="00EC1F43"/>
    <w:rsid w:val="00ED2E60"/>
    <w:rsid w:val="00F021EA"/>
    <w:rsid w:val="00F07F1D"/>
    <w:rsid w:val="00F136C2"/>
    <w:rsid w:val="00F81E56"/>
    <w:rsid w:val="00F95420"/>
    <w:rsid w:val="00FB3A35"/>
    <w:rsid w:val="00FC76B6"/>
    <w:rsid w:val="00FD1190"/>
    <w:rsid w:val="00FE2FB8"/>
    <w:rsid w:val="00FF2635"/>
    <w:rsid w:val="02493D31"/>
    <w:rsid w:val="02B577A9"/>
    <w:rsid w:val="02CD5FA7"/>
    <w:rsid w:val="0420542F"/>
    <w:rsid w:val="045A57A9"/>
    <w:rsid w:val="04732647"/>
    <w:rsid w:val="04FD5B7B"/>
    <w:rsid w:val="05C15C64"/>
    <w:rsid w:val="06A95CC2"/>
    <w:rsid w:val="06E8245C"/>
    <w:rsid w:val="06F23CF7"/>
    <w:rsid w:val="07700014"/>
    <w:rsid w:val="07EB5D02"/>
    <w:rsid w:val="08C36DFF"/>
    <w:rsid w:val="09D2103B"/>
    <w:rsid w:val="0B4C2D2B"/>
    <w:rsid w:val="0C052ECF"/>
    <w:rsid w:val="0C0F0EA7"/>
    <w:rsid w:val="0E122ED0"/>
    <w:rsid w:val="0E563B9C"/>
    <w:rsid w:val="0F506FCC"/>
    <w:rsid w:val="0F89651B"/>
    <w:rsid w:val="103532AC"/>
    <w:rsid w:val="108E4603"/>
    <w:rsid w:val="10F62465"/>
    <w:rsid w:val="115D0906"/>
    <w:rsid w:val="11767B1B"/>
    <w:rsid w:val="12333C82"/>
    <w:rsid w:val="12CB7BAC"/>
    <w:rsid w:val="139A199E"/>
    <w:rsid w:val="140C03C2"/>
    <w:rsid w:val="157902CA"/>
    <w:rsid w:val="160377C3"/>
    <w:rsid w:val="16C27E45"/>
    <w:rsid w:val="17F94DCB"/>
    <w:rsid w:val="18532A3A"/>
    <w:rsid w:val="18A6306B"/>
    <w:rsid w:val="1A283011"/>
    <w:rsid w:val="1ACA15A3"/>
    <w:rsid w:val="1AE67D2F"/>
    <w:rsid w:val="1BE90867"/>
    <w:rsid w:val="1D1E620C"/>
    <w:rsid w:val="1D2E3157"/>
    <w:rsid w:val="1EBB0A1A"/>
    <w:rsid w:val="1EC91389"/>
    <w:rsid w:val="2008298C"/>
    <w:rsid w:val="215B0FF5"/>
    <w:rsid w:val="21F0441B"/>
    <w:rsid w:val="224522F9"/>
    <w:rsid w:val="246216A4"/>
    <w:rsid w:val="24636277"/>
    <w:rsid w:val="247C4845"/>
    <w:rsid w:val="26C457F0"/>
    <w:rsid w:val="272A2174"/>
    <w:rsid w:val="27673C6C"/>
    <w:rsid w:val="27B1059E"/>
    <w:rsid w:val="284A3810"/>
    <w:rsid w:val="284C7832"/>
    <w:rsid w:val="28983427"/>
    <w:rsid w:val="2A936262"/>
    <w:rsid w:val="2C2736A5"/>
    <w:rsid w:val="2C444501"/>
    <w:rsid w:val="2D064997"/>
    <w:rsid w:val="2EC15005"/>
    <w:rsid w:val="305404AD"/>
    <w:rsid w:val="305D1851"/>
    <w:rsid w:val="309F6614"/>
    <w:rsid w:val="3143358D"/>
    <w:rsid w:val="31670909"/>
    <w:rsid w:val="31B553E5"/>
    <w:rsid w:val="34054DC7"/>
    <w:rsid w:val="34165719"/>
    <w:rsid w:val="370B658B"/>
    <w:rsid w:val="37F16B1E"/>
    <w:rsid w:val="3A8F1281"/>
    <w:rsid w:val="3BD333EF"/>
    <w:rsid w:val="3C2C7C15"/>
    <w:rsid w:val="3CEA565D"/>
    <w:rsid w:val="3D463D8E"/>
    <w:rsid w:val="3DB90BC5"/>
    <w:rsid w:val="3E73468E"/>
    <w:rsid w:val="3E855C22"/>
    <w:rsid w:val="401F6C03"/>
    <w:rsid w:val="4157061F"/>
    <w:rsid w:val="425719CE"/>
    <w:rsid w:val="42CB0088"/>
    <w:rsid w:val="43120CA1"/>
    <w:rsid w:val="43D171AF"/>
    <w:rsid w:val="44987D15"/>
    <w:rsid w:val="44EC6060"/>
    <w:rsid w:val="453B0C21"/>
    <w:rsid w:val="467632F5"/>
    <w:rsid w:val="49195B1E"/>
    <w:rsid w:val="494871CB"/>
    <w:rsid w:val="4A2223EE"/>
    <w:rsid w:val="4A2A33D3"/>
    <w:rsid w:val="4C0A4C0B"/>
    <w:rsid w:val="4C3D028C"/>
    <w:rsid w:val="4D4909C0"/>
    <w:rsid w:val="4FD22E5E"/>
    <w:rsid w:val="514B71B0"/>
    <w:rsid w:val="52A409C8"/>
    <w:rsid w:val="53DF24DA"/>
    <w:rsid w:val="54372AB5"/>
    <w:rsid w:val="56AF0889"/>
    <w:rsid w:val="571665A4"/>
    <w:rsid w:val="575933F7"/>
    <w:rsid w:val="57686D0C"/>
    <w:rsid w:val="580B6844"/>
    <w:rsid w:val="58403763"/>
    <w:rsid w:val="59397BE1"/>
    <w:rsid w:val="5F864394"/>
    <w:rsid w:val="5FD443C9"/>
    <w:rsid w:val="60655595"/>
    <w:rsid w:val="60B31A82"/>
    <w:rsid w:val="60C90799"/>
    <w:rsid w:val="61006639"/>
    <w:rsid w:val="620E08B6"/>
    <w:rsid w:val="639E415F"/>
    <w:rsid w:val="63BE27E6"/>
    <w:rsid w:val="65E16EE7"/>
    <w:rsid w:val="663F51EE"/>
    <w:rsid w:val="665E3576"/>
    <w:rsid w:val="67481E72"/>
    <w:rsid w:val="67F76E3A"/>
    <w:rsid w:val="684B5F38"/>
    <w:rsid w:val="69124CA8"/>
    <w:rsid w:val="691605F2"/>
    <w:rsid w:val="6A3D3FA6"/>
    <w:rsid w:val="6AAD1CD0"/>
    <w:rsid w:val="6C8B724B"/>
    <w:rsid w:val="700215D2"/>
    <w:rsid w:val="714A625F"/>
    <w:rsid w:val="731A5C13"/>
    <w:rsid w:val="74577C84"/>
    <w:rsid w:val="75153654"/>
    <w:rsid w:val="75442BCA"/>
    <w:rsid w:val="75814530"/>
    <w:rsid w:val="76567CF2"/>
    <w:rsid w:val="77123E26"/>
    <w:rsid w:val="77E018C6"/>
    <w:rsid w:val="788A485A"/>
    <w:rsid w:val="7BB3185B"/>
    <w:rsid w:val="7BFF3E04"/>
    <w:rsid w:val="7CBE2D25"/>
    <w:rsid w:val="7D452A1A"/>
    <w:rsid w:val="7E77344A"/>
    <w:rsid w:val="7E9114C7"/>
    <w:rsid w:val="7E9D38DA"/>
    <w:rsid w:val="7ED7613A"/>
    <w:rsid w:val="7FA51B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spacing w:beforeAutospacing="1" w:afterAutospacing="1"/>
      <w:jc w:val="left"/>
      <w:outlineLvl w:val="0"/>
    </w:pPr>
    <w:rPr>
      <w:rFonts w:hint="eastAsia" w:ascii="宋体" w:hAnsi="宋体" w:eastAsia="宋体" w:cs="Times New Roman"/>
      <w:b/>
      <w:bCs/>
      <w:kern w:val="44"/>
      <w:sz w:val="48"/>
      <w:szCs w:val="48"/>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qFormat/>
    <w:uiPriority w:val="0"/>
    <w:pPr>
      <w:ind w:firstLine="600" w:firstLineChars="250"/>
    </w:pPr>
    <w:rPr>
      <w:sz w:val="24"/>
    </w:rPr>
  </w:style>
  <w:style w:type="paragraph" w:styleId="4">
    <w:name w:val="toc 3"/>
    <w:basedOn w:val="1"/>
    <w:next w:val="1"/>
    <w:semiHidden/>
    <w:unhideWhenUsed/>
    <w:qFormat/>
    <w:uiPriority w:val="39"/>
    <w:pPr>
      <w:ind w:left="840" w:leftChars="400"/>
    </w:pPr>
  </w:style>
  <w:style w:type="paragraph" w:styleId="5">
    <w:name w:val="Balloon Text"/>
    <w:basedOn w:val="1"/>
    <w:link w:val="20"/>
    <w:semiHidden/>
    <w:unhideWhenUsed/>
    <w:qFormat/>
    <w:uiPriority w:val="99"/>
    <w:rPr>
      <w:sz w:val="18"/>
      <w:szCs w:val="18"/>
    </w:rPr>
  </w:style>
  <w:style w:type="paragraph" w:styleId="6">
    <w:name w:val="footer"/>
    <w:basedOn w:val="1"/>
    <w:link w:val="18"/>
    <w:unhideWhenUsed/>
    <w:qFormat/>
    <w:uiPriority w:val="99"/>
    <w:pPr>
      <w:tabs>
        <w:tab w:val="center" w:pos="4153"/>
        <w:tab w:val="right" w:pos="8306"/>
      </w:tabs>
      <w:snapToGrid w:val="0"/>
      <w:jc w:val="left"/>
    </w:pPr>
    <w:rPr>
      <w:sz w:val="18"/>
      <w:szCs w:val="18"/>
    </w:rPr>
  </w:style>
  <w:style w:type="paragraph" w:styleId="7">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toc 1"/>
    <w:basedOn w:val="1"/>
    <w:next w:val="1"/>
    <w:semiHidden/>
    <w:unhideWhenUsed/>
    <w:qFormat/>
    <w:uiPriority w:val="39"/>
  </w:style>
  <w:style w:type="paragraph" w:styleId="9">
    <w:name w:val="toc 2"/>
    <w:basedOn w:val="1"/>
    <w:next w:val="1"/>
    <w:semiHidden/>
    <w:unhideWhenUsed/>
    <w:qFormat/>
    <w:uiPriority w:val="39"/>
    <w:pPr>
      <w:ind w:left="420" w:leftChars="200"/>
    </w:pPr>
  </w:style>
  <w:style w:type="paragraph" w:styleId="10">
    <w:name w:val="Body Text First Indent 2"/>
    <w:basedOn w:val="3"/>
    <w:qFormat/>
    <w:uiPriority w:val="0"/>
    <w:pPr>
      <w:ind w:firstLine="420"/>
    </w:pPr>
    <w:rPr>
      <w:rFonts w:ascii="仿宋_GB2312" w:eastAsia="仿宋_GB2312" w:cs="仿宋_GB2312"/>
      <w:sz w:val="32"/>
      <w:szCs w:val="32"/>
    </w:rPr>
  </w:style>
  <w:style w:type="table" w:styleId="12">
    <w:name w:val="Table Grid"/>
    <w:basedOn w:val="1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Strong"/>
    <w:basedOn w:val="13"/>
    <w:qFormat/>
    <w:uiPriority w:val="0"/>
    <w:rPr>
      <w:b/>
    </w:rPr>
  </w:style>
  <w:style w:type="character" w:styleId="15">
    <w:name w:val="Hyperlink"/>
    <w:qFormat/>
    <w:uiPriority w:val="99"/>
    <w:rPr>
      <w:color w:val="0000FF"/>
      <w:spacing w:val="0"/>
      <w:w w:val="100"/>
      <w:szCs w:val="21"/>
      <w:u w:val="single"/>
      <w:lang w:val="en-US" w:eastAsia="zh-CN"/>
    </w:rPr>
  </w:style>
  <w:style w:type="paragraph" w:styleId="16">
    <w:name w:val="List Paragraph"/>
    <w:basedOn w:val="1"/>
    <w:qFormat/>
    <w:uiPriority w:val="34"/>
    <w:pPr>
      <w:ind w:firstLine="420" w:firstLineChars="200"/>
    </w:pPr>
  </w:style>
  <w:style w:type="character" w:customStyle="1" w:styleId="17">
    <w:name w:val="页眉 Char"/>
    <w:basedOn w:val="13"/>
    <w:link w:val="7"/>
    <w:qFormat/>
    <w:uiPriority w:val="99"/>
    <w:rPr>
      <w:sz w:val="18"/>
      <w:szCs w:val="18"/>
    </w:rPr>
  </w:style>
  <w:style w:type="character" w:customStyle="1" w:styleId="18">
    <w:name w:val="页脚 Char"/>
    <w:basedOn w:val="13"/>
    <w:link w:val="6"/>
    <w:qFormat/>
    <w:uiPriority w:val="99"/>
    <w:rPr>
      <w:sz w:val="18"/>
      <w:szCs w:val="18"/>
    </w:rPr>
  </w:style>
  <w:style w:type="paragraph" w:customStyle="1" w:styleId="19">
    <w:name w:val="段"/>
    <w:qFormat/>
    <w:uiPriority w:val="0"/>
    <w:pPr>
      <w:tabs>
        <w:tab w:val="center" w:pos="4201"/>
        <w:tab w:val="right" w:leader="dot" w:pos="9298"/>
      </w:tabs>
      <w:autoSpaceDE w:val="0"/>
      <w:autoSpaceDN w:val="0"/>
      <w:ind w:firstLine="420" w:firstLineChars="200"/>
      <w:jc w:val="both"/>
    </w:pPr>
    <w:rPr>
      <w:rFonts w:ascii="宋体" w:hAnsi="等线" w:eastAsia="等线" w:cs="Times New Roman"/>
      <w:kern w:val="2"/>
      <w:sz w:val="21"/>
      <w:szCs w:val="22"/>
      <w:lang w:val="en-US" w:eastAsia="zh-CN" w:bidi="ar-SA"/>
    </w:rPr>
  </w:style>
  <w:style w:type="character" w:customStyle="1" w:styleId="20">
    <w:name w:val="批注框文本 Char"/>
    <w:basedOn w:val="13"/>
    <w:link w:val="5"/>
    <w:semiHidden/>
    <w:qFormat/>
    <w:uiPriority w:val="99"/>
    <w:rPr>
      <w:kern w:val="2"/>
      <w:sz w:val="18"/>
      <w:szCs w:val="18"/>
    </w:rPr>
  </w:style>
  <w:style w:type="paragraph" w:customStyle="1" w:styleId="21">
    <w:name w:val="标准文件_段"/>
    <w:link w:val="22"/>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22">
    <w:name w:val="标准文件_段 Char"/>
    <w:link w:val="21"/>
    <w:qFormat/>
    <w:uiPriority w:val="0"/>
    <w:rPr>
      <w:rFonts w:ascii="宋体"/>
      <w:sz w:val="21"/>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2c610e62-a50f-4daa-960b-a33709d7d6ac</errorID>
      <errorWord>(</errorWord>
      <group>L1_Format</group>
      <groupName>格式问题</groupName>
      <ability>L2_HalfPunc</ability>
      <abilityName>全半角检查</abilityName>
      <candidateList>
        <item>（</item>
      </candidateList>
      <explain>文本全半角错误。</explain>
      <paraID>787D0A33</paraID>
      <start>12</start>
      <end>13</end>
      <status>modified</status>
      <modifiedWord>（</modifiedWord>
      <trackRevisions>false</trackRevisions>
    </reviewItem>
    <reviewItem>
      <errorID>960088ec-66c8-4abe-9c67-3e3e3bce723d</errorID>
      <errorWord>)</errorWord>
      <group>L1_Format</group>
      <groupName>格式问题</groupName>
      <ability>L2_HalfPunc</ability>
      <abilityName>全半角检查</abilityName>
      <candidateList>
        <item>）</item>
      </candidateList>
      <explain>文本全半角错误。</explain>
      <paraID>787D0A33</paraID>
      <start>15</start>
      <end>16</end>
      <status>modified</status>
      <modifiedWord>）</modifiedWord>
      <trackRevisions>false</trackRevisions>
    </reviewItem>
    <reviewItem>
      <errorID>a4781845-2017-474e-8038-68ed0f238220</errorID>
      <errorWord>(</errorWord>
      <group>L1_Format</group>
      <groupName>格式问题</groupName>
      <ability>L2_HalfPunc</ability>
      <abilityName>全半角检查</abilityName>
      <candidateList>
        <item>（</item>
      </candidateList>
      <explain>文本全半角错误。</explain>
      <paraID>507C36F5</paraID>
      <start>12</start>
      <end>13</end>
      <status>modified</status>
      <modifiedWord>（</modifiedWord>
      <trackRevisions>false</trackRevisions>
    </reviewItem>
    <reviewItem>
      <errorID>089f9df6-67f8-49cc-b42f-14e8ae14bafc</errorID>
      <errorWord>)</errorWord>
      <group>L1_Format</group>
      <groupName>格式问题</groupName>
      <ability>L2_HalfPunc</ability>
      <abilityName>全半角检查</abilityName>
      <candidateList>
        <item>）</item>
      </candidateList>
      <explain>文本全半角错误。</explain>
      <paraID>507C36F5</paraID>
      <start>15</start>
      <end>16</end>
      <status>modified</status>
      <modifiedWord>）</modifiedWord>
      <trackRevisions>false</trackRevisions>
    </reviewItem>
    <reviewItem>
      <errorID>67da25a9-dea5-436d-a4dd-4e3d6c8197a3</errorID>
      <errorWord>李金柱</errorWord>
      <group>L1_Sensitive</group>
      <groupName>敏感问题</groupName>
      <ability>L2_Disgraced</ability>
      <abilityName>落马官员</abilityName>
      <candidateList/>
      <explain>【落马官员】请注意，&lt;李金柱&gt;为已落马官员的姓名。</explain>
      <paraID>6D6A0AD5</paraID>
      <start>0</start>
      <end>3</end>
      <status>ignored</status>
      <modifiedWord/>
      <trackRevisions>false</trackRevisions>
    </reviewItem>
    <reviewItem>
      <errorID>c8ba72a1-bb74-4be4-be24-4e7cd3b7da1e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3626841A</paraID>
      <start>0</start>
      <end>2</end>
      <status>ignored</status>
      <modifiedWord/>
      <trackRevisions>false</trackRevisions>
    </reviewItem>
    <reviewItem>
      <errorID>8f889764-ddb3-45bb-9c4e-e3b65d620e07</errorID>
      <errorWord>于</errorWord>
      <group>L1_Word</group>
      <groupName>字词问题</groupName>
      <ability>L2_Typo</ability>
      <abilityName>字词错误</abilityName>
      <candidateList>
        <item>于在</item>
      </candidateList>
      <explain/>
      <paraID> E870872</paraID>
      <start>112</start>
      <end>114</end>
      <status>modified</status>
      <modifiedWord>于在</modifiedWord>
      <trackRevisions>false</trackRevisions>
    </reviewItem>
    <reviewItem>
      <errorID>f2f1cf34-04f3-421a-aadf-18cd7611a69f</errorID>
      <errorWord>组内部</errorWord>
      <group>L1_AI</group>
      <groupName>深度校对</groupName>
      <ability>L2_AI_Grammar</ability>
      <abilityName>语法纠错</abilityName>
      <candidateList>
        <item>组</item>
      </candidateList>
      <explain/>
      <paraID>6C16DBDA</paraID>
      <start>55</start>
      <end>56</end>
      <status>modified</status>
      <modifiedWord>组</modifiedWord>
      <trackRevisions>false</trackRevisions>
    </reviewItem>
    <reviewItem>
      <errorID>a97eb93d-8502-485a-af97-d8372ec293b7</errorID>
      <errorWord>精炼</errorWord>
      <group>L1_Word</group>
      <groupName>字词问题</groupName>
      <ability>L2_Typo</ability>
      <abilityName>字词错误</abilityName>
      <candidateList>
        <item>精练</item>
      </candidateList>
      <explain/>
      <paraID>6F5B00D7</paraID>
      <start>50</start>
      <end>52</end>
      <status>modified</status>
      <modifiedWord>精练</modifiedWord>
      <trackRevisions>false</trackRevisions>
    </reviewItem>
    <reviewItem>
      <errorID>c6c932bb-0930-42da-964b-3934ab1f1138</errorID>
      <errorWord>《公路边坡自动化监测技术规程》（征求意见稿）</errorWord>
      <group>L1_Knowledge</group>
      <groupName>知识性问题</groupName>
      <ability>L2_Knowledge</ability>
      <abilityName>其他知识</abilityName>
      <candidateList>
        <item>《公路边坡自动化监测技术规程（征求意见稿）》</item>
      </candidateList>
      <explain>疑似政策文件、法律法规名称等书写不规范，请注意检查。</explain>
      <paraID>506E3DF2</paraID>
      <start>130</start>
      <end>152</end>
      <status>modified</status>
      <modifiedWord>《公路边坡自动化监测技术规程（征求意见稿）》</modifiedWord>
      <trackRevisions>false</trackRevisions>
    </reviewItem>
    <reviewItem>
      <errorID>20282df3-c400-41d6-83da-ff537b3fb42b</errorID>
      <errorWord>(</errorWord>
      <group>L1_Format</group>
      <groupName>格式问题</groupName>
      <ability>L2_HalfPunc</ability>
      <abilityName>全半角检查</abilityName>
      <candidateList>
        <item>（</item>
      </candidateList>
      <explain>文本全半角错误。</explain>
      <paraID>13B6CB2D</paraID>
      <start>12</start>
      <end>13</end>
      <status>modified</status>
      <modifiedWord>（</modifiedWord>
      <trackRevisions>false</trackRevisions>
    </reviewItem>
    <reviewItem>
      <errorID>ad3918d2-678c-4c7c-91ce-d176e55179c9</errorID>
      <errorWord>)</errorWord>
      <group>L1_Format</group>
      <groupName>格式问题</groupName>
      <ability>L2_HalfPunc</ability>
      <abilityName>全半角检查</abilityName>
      <candidateList>
        <item>）</item>
      </candidateList>
      <explain>文本全半角错误。</explain>
      <paraID>13B6CB2D</paraID>
      <start>15</start>
      <end>16</end>
      <status>modified</status>
      <modifiedWord>）</modifiedWord>
      <trackRevisions>false</trackRevisions>
    </reviewItem>
    <reviewItem>
      <errorID>945be6de-64d9-4ef9-b02c-8e54ea717a54</errorID>
      <errorWord>(</errorWord>
      <group>L1_Format</group>
      <groupName>格式问题</groupName>
      <ability>L2_HalfPunc</ability>
      <abilityName>全半角检查</abilityName>
      <candidateList>
        <item>（</item>
      </candidateList>
      <explain>文本全半角错误。</explain>
      <paraID> C9E94A9</paraID>
      <start>12</start>
      <end>13</end>
      <status>modified</status>
      <modifiedWord>（</modifiedWord>
      <trackRevisions>false</trackRevisions>
    </reviewItem>
    <reviewItem>
      <errorID>df67c51e-669b-46e1-bb0e-0b71727f0304</errorID>
      <errorWord>)</errorWord>
      <group>L1_Format</group>
      <groupName>格式问题</groupName>
      <ability>L2_HalfPunc</ability>
      <abilityName>全半角检查</abilityName>
      <candidateList>
        <item>）</item>
      </candidateList>
      <explain>文本全半角错误。</explain>
      <paraID> C9E94A9</paraID>
      <start>15</start>
      <end>16</end>
      <status>modified</status>
      <modifiedWord>）</modifiedWord>
      <trackRevisions>false</trackRevisions>
    </reviewItem>
    <reviewItem>
      <errorID>b5446be2-adf1-46dc-a9c5-70f2ad2c3223</errorID>
      <errorWord>李金柱</errorWord>
      <group>L1_Sensitive</group>
      <groupName>敏感问题</groupName>
      <ability>L2_Disgraced</ability>
      <abilityName>落马官员</abilityName>
      <candidateList/>
      <explain>【落马官员】请注意，&lt;李金柱&gt;为已落马官员的姓名。</explain>
      <paraID>7C855018</paraID>
      <start>0</start>
      <end>3</end>
      <status>ignored</status>
      <modifiedWord/>
      <trackRevisions>false</trackRevisions>
    </reviewItem>
    <reviewItem>
      <errorID>f90df5a6-2b16-4802-b6e8-7a2fdc8dad15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74425E75</paraID>
      <start>0</start>
      <end>2</end>
      <status>ignored</status>
      <modifiedWord/>
      <trackRevisions>false</trackRevisions>
    </reviewItem>
    <reviewItem>
      <errorID>0459febc-ef36-4646-88aa-94f3f93d586c</errorID>
      <errorWord>亟需</errorWord>
      <group>L1_Word</group>
      <groupName>字词问题</groupName>
      <ability>L2_Typo</ability>
      <abilityName>字词错误</abilityName>
      <candidateList>
        <item>亟须</item>
      </candidateList>
      <explain/>
      <paraID> C46B6E2</paraID>
      <start>15</start>
      <end>17</end>
      <status>modified</status>
      <modifiedWord>亟须</modifiedWord>
      <trackRevisions>false</trackRevisions>
    </reviewItem>
    <reviewItem>
      <errorID>09d80997-3504-41b9-8540-20d17fc0107b</errorID>
      <errorWord>交通部</errorWord>
      <group>L1_Knowledge</group>
      <groupName>知识性问题</groupName>
      <ability>L2_Knowledge</ability>
      <abilityName>其他知识</abilityName>
      <candidateList>
        <item>交通运输部</item>
      </candidateList>
      <explain/>
      <paraID>64220F03</paraID>
      <start>334</start>
      <end>337</end>
      <status>ignored</status>
      <modifiedWord/>
      <trackRevisions>false</trackRevisions>
    </reviewItem>
    <reviewItem>
      <errorID>949853fb-a415-4ded-90ff-bd71f3efdcea</errorID>
      <errorWord>亟需</errorWord>
      <group>L1_Word</group>
      <groupName>字词问题</groupName>
      <ability>L2_Typo</ability>
      <abilityName>字词错误</abilityName>
      <candidateList>
        <item>亟须</item>
      </candidateList>
      <explain/>
      <paraID>4179EAE5</paraID>
      <start>23</start>
      <end>25</end>
      <status>modified</status>
      <modifiedWord>亟须</modifiedWord>
      <trackRevisions>false</trackRevisions>
    </reviewItem>
    <reviewItem>
      <errorID>89689657-90a0-4539-bdb7-9304f9c61d5f</errorID>
      <errorWord>劳</errorWord>
      <group>L1_Word</group>
      <groupName>字词问题</groupName>
      <ability>L2_Typo</ability>
      <abilityName>字词错误</abilityName>
      <candidateList>
        <item>劳动</item>
      </candidateList>
      <explain>〈动〉敬辞，烦劳：～您跑一趟｜不敢～大驾。</explain>
      <paraID>3D61CE00</paraID>
      <start>30</start>
      <end>32</end>
      <status>modified</status>
      <modifiedWord>劳动</modifiedWord>
      <trackRevisions>false</trackRevisions>
    </reviewItem>
    <reviewItem>
      <errorID>6679f6a1-956f-4f3f-b061-d854a5f03be9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1447F4AB</paraID>
      <start>0</start>
      <end>2</end>
      <status>ignored</status>
      <modifiedWord/>
      <trackRevisions>false</trackRevisions>
    </reviewItem>
    <reviewItem>
      <errorID>56467110-7887-4c6d-b5c4-80d091c12b1d</errorID>
      <errorWord>法律、法规</errorWord>
      <group>L1_Word</group>
      <groupName>字词问题</groupName>
      <ability>L2_Typo</ability>
      <abilityName>字词错误</abilityName>
      <candidateList>
        <item>法律法规</item>
      </candidateList>
      <explain/>
      <paraID>1447F4AB</paraID>
      <start>16</start>
      <end>21</end>
      <status>ignored</status>
      <modifiedWord/>
      <trackRevisions>false</trackRevisions>
    </reviewItem>
    <reviewItem>
      <errorID>d25d2628-e5b0-4776-9a1e-50d65814bd2a</errorID>
      <errorWord>法律、法规</errorWord>
      <group>L1_Word</group>
      <groupName>字词问题</groupName>
      <ability>L2_Typo</ability>
      <abilityName>字词错误</abilityName>
      <candidateList>
        <item>法律法规</item>
      </candidateList>
      <explain/>
      <paraID>1A0FD07C</paraID>
      <start>7</start>
      <end>12</end>
      <status>ignored</status>
      <modifiedWord/>
      <trackRevisions>false</trackRevisions>
    </reviewItem>
    <reviewItem>
      <errorID>4a28558e-0b3e-4442-a975-fd93a26f3730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7EB6ADD3</paraID>
      <start>0</start>
      <end>2</end>
      <status>ignored</status>
      <modifiedWord/>
      <trackRevisions>false</trackRevisions>
    </reviewItem>
    <reviewItem>
      <errorID>90154830-12ab-41e8-ac77-73de484494d3</errorID>
      <errorWord>截止</errorWord>
      <group>L1_Word</group>
      <groupName>字词问题</groupName>
      <ability>L2_Typo</ability>
      <abilityName>字词错误</abilityName>
      <candidateList>
        <item>截至</item>
      </candidateList>
      <explain>存在发音相同字词的误用。</explain>
      <paraID>5DADB1A2</paraID>
      <start>250</start>
      <end>252</end>
      <status>modified</status>
      <modifiedWord>截至</modifiedWord>
      <trackRevisions>false</trackRevisions>
    </reviewItem>
    <reviewItem>
      <errorID>c6dd601e-8a0b-4aa5-b7a7-4d598146c701</errorID>
      <errorWord>多</errorWord>
      <group>L1_Word</group>
      <groupName>字词问题</groupName>
      <ability>L2_Typo</ability>
      <abilityName>字词错误</abilityName>
      <candidateList>
        <item>多种</item>
      </candidateList>
      <explain/>
      <paraID> CC46666</paraID>
      <start>181</start>
      <end>183</end>
      <status>modified</status>
      <modifiedWord>多种</modifiedWord>
      <trackRevisions>false</trackRevisions>
    </reviewItem>
    <reviewItem>
      <errorID>eff036f9-be32-49ef-a3d6-f5bbc6d31bcf</errorID>
      <errorWord>为以</errorWord>
      <group>L1_Word</group>
      <groupName>字词问题</groupName>
      <ability>L2_Typo</ability>
      <abilityName>字词错误</abilityName>
      <candidateList>
        <item>为</item>
      </candidateList>
      <explain>（爲、為）wèi❶〈书〉帮助；卫护：～吕氏者右袒，～刘氏者左袒。❷〈介〉表示行为的对象；替：～你庆幸｜～人民服务｜～这本书写一篇序。❸〈介〉表示原因、目的：大家都～这件事高兴｜～建设伟大祖国而奋斗。❹〈书〉〈介〉对；向：不足～外人道。</explain>
      <paraID>136822F4</paraID>
      <start>22</start>
      <end>23</end>
      <status>modified</status>
      <modifiedWord>为</modifiedWord>
      <trackRevisions>false</trackRevisions>
    </reviewItem>
    <reviewItem>
      <errorID>6f6bb7ec-b3bf-4361-8b6c-d4c914a0d251</errorID>
      <errorWord>一</errorWord>
      <group>L1_Word</group>
      <groupName>字词问题</groupName>
      <ability>L2_Typo</ability>
      <abilityName>字词错误</abilityName>
      <candidateList>
        <item>一级</item>
      </candidateList>
      <explain/>
      <paraID>136822F4</paraID>
      <start>61</start>
      <end>63</end>
      <status>modified</status>
      <modifiedWord>一级</modifiedWord>
      <trackRevisions>false</trackRevisions>
    </reviewItem>
    <reviewItem>
      <errorID>b0246aa9-1678-4785-9dba-f846e9221a7d</errorID>
      <errorWord>反应</errorWord>
      <group>L1_Word</group>
      <groupName>字词问题</groupName>
      <ability>L2_Typo</ability>
      <abilityName>字词错误</abilityName>
      <candidateList>
        <item>反映</item>
      </candidateList>
      <explain>〈动〉❶反照，比喻把客观事物的实质表现出来：这部小说～了现实的生活和斗争。❷把情况、意见等告诉上级或有关部门：把情况～到县里｜他～的意见值得重视。❸通常指机体接受和回答客观事物影响的活动过程。</explain>
      <paraID>  5E433F</paraID>
      <start>48</start>
      <end>50</end>
      <status>modified</status>
      <modifiedWord>反映</modifiedWord>
      <trackRevisions>false</trackRevisions>
    </reviewItem>
    <reviewItem>
      <errorID>0aefab4a-4afb-40a5-8e7b-61345c95e237</errorID>
      <errorWord>标准与</errorWord>
      <group>L1_Word</group>
      <groupName>字词问题</groupName>
      <ability>L2_Typo</ability>
      <abilityName>字词错误</abilityName>
      <candidateList>
        <item>标准</item>
      </candidateList>
      <explain>❶〈名〉衡量事物的准则：技术～｜实践是检验真理的唯一～。❷〈形〉本身合于准则，可供同类事物比较核对的：～音｜～时｜她的发音很～。</explain>
      <paraID>  C5CBED</paraID>
      <start>100</start>
      <end>102</end>
      <status>modified</status>
      <modifiedWord>标准</modifiedWord>
      <trackRevisions>false</trackRevisions>
    </reviewItem>
    <reviewItem>
      <errorID>42791cf5-3620-4876-b1d0-141ad342f710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7F57E7C</paraID>
      <start>55</start>
      <end>56</end>
      <status>ignored</status>
      <modifiedWord/>
      <trackRevisions>false</trackRevisions>
    </reviewItem>
    <reviewItem>
      <errorID>5359ad0d-8f67-494d-8b34-8308a6ecdc0a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7F57E7C</paraID>
      <start>72</start>
      <end>73</end>
      <status>ignored</status>
      <modifiedWord/>
      <trackRevisions>false</trackRevisions>
    </reviewItem>
    <reviewItem>
      <errorID>a3ee1e3e-ccf7-478e-bf7e-d1a136afc09b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7F57E7C</paraID>
      <start>90</start>
      <end>91</end>
      <status>ignored</status>
      <modifiedWord/>
      <trackRevisions>false</trackRevisions>
    </reviewItem>
    <reviewItem>
      <errorID>1713049c-8baf-42ca-8531-e03758aa3e6f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7F57E7C</paraID>
      <start>103</start>
      <end>104</end>
      <status>ignored</status>
      <modifiedWord/>
      <trackRevisions>false</trackRevisions>
    </reviewItem>
    <reviewItem>
      <errorID>11f9821d-af0d-46ef-9496-a84b9ace1d5c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7F57E7C</paraID>
      <start>126</start>
      <end>127</end>
      <status>ignored</status>
      <modifiedWord/>
      <trackRevisions>false</trackRevisions>
    </reviewItem>
    <reviewItem>
      <errorID>ad0a99e1-a4f1-40bb-9a98-6e27b1bc9da1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7F57E7C</paraID>
      <start>154</start>
      <end>155</end>
      <status>ignored</status>
      <modifiedWord/>
      <trackRevisions>false</trackRevisions>
    </reviewItem>
    <reviewItem>
      <errorID>3a5d0e6a-bb24-4b78-87f9-042a75406c46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21C3C6F5</paraID>
      <start>21</start>
      <end>22</end>
      <status>ignored</status>
      <modifiedWord/>
      <trackRevisions>false</trackRevisions>
    </reviewItem>
    <reviewItem>
      <errorID>4a2b0923-671e-44c9-bed1-7eed5d57c5de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21C3C6F5</paraID>
      <start>63</start>
      <end>64</end>
      <status>ignored</status>
      <modifiedWord/>
      <trackRevisions>false</trackRevisions>
    </reviewItem>
    <reviewItem>
      <errorID>d69d5736-f59d-40aa-a079-b51acfa4b529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657CD916</paraID>
      <start>113</start>
      <end>114</end>
      <status>ignored</status>
      <modifiedWord/>
      <trackRevisions>false</trackRevisions>
    </reviewItem>
    <reviewItem>
      <errorID>5b0b6a68-ba40-4829-af9b-86a66df5c745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657CD916</paraID>
      <start>137</start>
      <end>138</end>
      <status>ignored</status>
      <modifiedWord/>
      <trackRevisions>false</trackRevisions>
    </reviewItem>
    <reviewItem>
      <errorID>a735baa2-5e0b-4e1b-ae1e-22941de5a706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7AF4E29D</paraID>
      <start>144</start>
      <end>145</end>
      <status>ignored</status>
      <modifiedWord/>
      <trackRevisions>false</trackRevisions>
    </reviewItem>
    <reviewItem>
      <errorID>d9fd9b48-2d9b-4963-9db0-80b7e4fd7f36</errorID>
      <errorWord>60%-70%</errorWord>
      <group>L1_Knowledge</group>
      <groupName>知识性问题</groupName>
      <ability>L2_Knowledge</ability>
      <abilityName>其他知识</abilityName>
      <candidateList>
        <item>60%—70%</item>
      </candidateList>
      <explain>1. “60%-70%”中的单位“%”仅出现在后一个数字上，容易引起歧义；根据《现代汉语标点符号数字用法规范手册》，数字表示范围两边需要使用统一的格式。2. 根据标点国标 4.13 中的规则，数字、时间或地域连接符应使用（视觉上更长的）“—”或“～”。</explain>
      <paraID>4C2FED11</paraID>
      <start>30</start>
      <end>37</end>
      <status>ignored</status>
      <modifiedWord/>
      <trackRevisions>false</trackRevisions>
    </reviewItem>
    <reviewItem>
      <errorID>ca6262ff-6cd2-4eb4-8f91-423a2d3181fc</errorID>
      <errorWord>60%-70%</errorWord>
      <group>L1_Knowledge</group>
      <groupName>知识性问题</groupName>
      <ability>L2_Knowledge</ability>
      <abilityName>其他知识</abilityName>
      <candidateList>
        <item>60%—70%</item>
      </candidateList>
      <explain>1. “60%-70%”中的单位“%”仅出现在后一个数字上，容易引起歧义；根据《现代汉语标点符号数字用法规范手册》，数字表示范围两边需要使用统一的格式。2. 根据标点国标 4.13 中的规则，数字、时间或地域连接符应使用（视觉上更长的）“—”或“～”。</explain>
      <paraID>4C2FED11</paraID>
      <start>61</start>
      <end>68</end>
      <status>ignored</status>
      <modifiedWord/>
      <trackRevisions>false</trackRevisions>
    </reviewItem>
    <reviewItem>
      <errorID>8776be81-c3cf-47a1-af51-b9dc77db9d7d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7C819AEC</paraID>
      <start>0</start>
      <end>2</end>
      <status>ignored</status>
      <modifiedWord/>
      <trackRevisions>false</trackRevisions>
    </reviewItem>
    <reviewItem>
      <errorID>a53a50db-0676-4a6f-9793-35b97763fb1a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5A864D4A</paraID>
      <start>0</start>
      <end>2</end>
      <status>ignored</status>
      <modifiedWord/>
      <trackRevisions>false</trackRevisions>
    </reviewItem>
    <reviewItem>
      <errorID>8814c586-1104-4536-bf8d-bbb02696d091</errorID>
      <errorWord>-</errorWord>
      <group>L1_Format</group>
      <groupName>格式问题</groupName>
      <ability>L2_HalfPunc</ability>
      <abilityName>全半角检查</abilityName>
      <candidateList>
        <item>－</item>
      </candidateList>
      <explain>文本全半角错误。</explain>
      <paraID>673B0FA1</paraID>
      <start>181</start>
      <end>182</end>
      <status>ignored</status>
      <modifiedWord/>
      <trackRevisions>false</trackRevisions>
    </reviewItem>
    <reviewItem>
      <errorID>8bf81b6f-73d5-4e78-8acc-bdbef8ff4b58</errorID>
      <errorWord>-</errorWord>
      <group>L1_Format</group>
      <groupName>格式问题</groupName>
      <ability>L2_HalfPunc</ability>
      <abilityName>全半角检查</abilityName>
      <candidateList>
        <item>－</item>
      </candidateList>
      <explain>文本全半角错误。</explain>
      <paraID>673B0FA1</paraID>
      <start>184</start>
      <end>185</end>
      <status>ignored</status>
      <modifiedWord/>
      <trackRevisions>false</trackRevisions>
    </reviewItem>
    <reviewItem>
      <errorID>1fdd8242-15d7-4b40-b7cd-b8014f198b93</errorID>
      <errorWord>-</errorWord>
      <group>L1_Format</group>
      <groupName>格式问题</groupName>
      <ability>L2_HalfPunc</ability>
      <abilityName>全半角检查</abilityName>
      <candidateList>
        <item>－</item>
      </candidateList>
      <explain>文本全半角错误。</explain>
      <paraID>673B0FA1</paraID>
      <start>187</start>
      <end>188</end>
      <status>ignored</status>
      <modifiedWord/>
      <trackRevisions>false</trackRevisions>
    </reviewItem>
    <reviewItem>
      <errorID>d0eb2776-5811-401a-977f-2338172a6e3f</errorID>
      <errorWord>年平均</errorWord>
      <group>L1_Word</group>
      <groupName>字词问题</groupName>
      <ability>L2_Typo</ability>
      <abilityName>字词错误</abilityName>
      <candidateList>
        <item>平均年</item>
      </candidateList>
      <explain/>
      <paraID>7AEFDCD7</paraID>
      <start>114</start>
      <end>117</end>
      <status>ignored</status>
      <modifiedWord/>
      <trackRevisions>false</trackRevisions>
    </reviewItem>
    <reviewItem>
      <errorID>4a0a3157-693f-481f-a006-1b842f6c6f15</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334CE37A</paraID>
      <start>0</start>
      <end>2</end>
      <status>ignored</status>
      <modifiedWord/>
      <trackRevisions>false</trackRevisions>
    </reviewItem>
    <reviewItem>
      <errorID>d38b0937-b33c-411e-97f4-d5231bc8086a</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10E8F313</paraID>
      <start>0</start>
      <end>2</end>
      <status>ignored</status>
      <modifiedWord/>
      <trackRevisions>false</trackRevisions>
    </reviewItem>
    <reviewItem>
      <errorID>3f212acd-38ea-405e-bd74-04c1321f52a3</errorID>
      <errorWord>标准化法</errorWord>
      <group>L1_Knowledge</group>
      <groupName>知识性问题</groupName>
      <ability>L2_Knowledge</ability>
      <abilityName>其他知识</abilityName>
      <candidateList>
        <item>中华人民共和国标准化法</item>
      </candidateList>
      <explain>当前法律法规名称使用简称，请注意是否应当使用全称。</explain>
      <paraID>5C3E751A</paraID>
      <start>3</start>
      <end>14</end>
      <status>modified</status>
      <modifiedWord>中华人民共和国标准化法</modifiedWord>
      <trackRevisions>false</trackRevisions>
    </reviewItem>
    <reviewItem>
      <errorID>735c1b7e-5315-469c-928e-7465c4361799</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612B8095</paraID>
      <start>0</start>
      <end>2</end>
      <status>ignored</status>
      <modifiedWord/>
      <trackRevisions>false</trackRevisions>
    </reviewItem>
    <reviewItem>
      <errorID>6a851c9e-68b7-4f9f-a194-50060d7b7364</errorID>
      <errorWord>习</errorWord>
      <group>L1_Word</group>
      <groupName>字词问题</groupName>
      <ability>L2_Typo</ability>
      <abilityName>字词错误</abilityName>
      <candidateList>
        <item>习全</item>
      </candidateList>
      <explain/>
      <paraID>3E59BF4B</paraID>
      <start>18</start>
      <end>20</end>
      <status>modified</status>
      <modifiedWord>习全</modifiedWord>
      <trackRevisions>false</trackRevisions>
    </reviewItem>
    <reviewItem>
      <errorID>a750dc93-e549-422b-a036-ec27ed1f2031</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16912325</paraID>
      <start>0</start>
      <end>3</end>
      <status>ignored</status>
      <modifiedWord/>
      <trackRevisions>false</trackRevisions>
    </reviewItem>
    <reviewItem>
      <errorID>58a69dd2-cb5a-4257-b8ae-26d24036a109</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34DC381A</paraID>
      <start>0</start>
      <end>3</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2f498c0-9670-4da2-81a1-624cf46fd0d5}">
  <ds:schemaRefs/>
</ds:datastoreItem>
</file>

<file path=docProps/app.xml><?xml version="1.0" encoding="utf-8"?>
<Properties xmlns="http://schemas.openxmlformats.org/officeDocument/2006/extended-properties" xmlns:vt="http://schemas.openxmlformats.org/officeDocument/2006/docPropsVTypes">
  <Template>Normal.dotm</Template>
  <Company>User</Company>
  <Pages>39</Pages>
  <Words>2989</Words>
  <Characters>3393</Characters>
  <Lines>50</Lines>
  <Paragraphs>14</Paragraphs>
  <TotalTime>31</TotalTime>
  <ScaleCrop>false</ScaleCrop>
  <LinksUpToDate>false</LinksUpToDate>
  <CharactersWithSpaces>3502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2020-12-16T13:21:00Z</dcterms:created>
  <dc:creator>Yvonne Zhu</dc:creator>
  <cp:lastModifiedBy>星</cp:lastModifiedBy>
  <cp:lastPrinted>2024-03-26T02:19:00Z</cp:lastPrinted>
  <dcterms:modified xsi:type="dcterms:W3CDTF">2026-06-11T06:58:14Z</dcterms:modified>
  <cp:revision>118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112346E000A546EEA7C25962AE6CA1FA_13</vt:lpwstr>
  </property>
  <property fmtid="{D5CDD505-2E9C-101B-9397-08002B2CF9AE}" pid="4" name="KSOTemplateDocerSaveRecord">
    <vt:lpwstr>eyJoZGlkIjoiMzU5NjliYzE2MzZmYzIxMzM1MzIyOGY3MzdjYTY0MzQiLCJ1c2VySWQiOiIzOTkzMDI3ODEifQ==</vt:lpwstr>
  </property>
</Properties>
</file>