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hint="eastAsia" w:ascii="方正小标宋简体" w:hAnsi="黑体" w:eastAsia="方正小标宋简体" w:cs="黑体"/>
          <w:sz w:val="44"/>
          <w:szCs w:val="44"/>
        </w:rPr>
      </w:pPr>
      <w:bookmarkStart w:id="0" w:name="_GoBack"/>
      <w:r>
        <w:rPr>
          <w:rFonts w:hint="eastAsia" w:ascii="方正小标宋简体" w:hAnsi="黑体" w:eastAsia="方正小标宋简体" w:cs="黑体"/>
          <w:sz w:val="44"/>
          <w:szCs w:val="44"/>
        </w:rPr>
        <w:t>2024年交通运输标准化计划项目（第一批）</w:t>
      </w:r>
      <w:bookmarkEnd w:id="0"/>
    </w:p>
    <w:p>
      <w:pPr>
        <w:jc w:val="center"/>
        <w:rPr>
          <w:rFonts w:hint="eastAsia" w:ascii="黑体" w:hAnsi="黑体" w:eastAsia="黑体" w:cs="黑体"/>
          <w:sz w:val="36"/>
          <w:szCs w:val="36"/>
        </w:rPr>
      </w:pPr>
    </w:p>
    <w:p>
      <w:pPr>
        <w:pStyle w:val="2"/>
        <w:spacing w:before="120" w:beforeLines="50" w:after="120" w:afterLines="50" w:line="240" w:lineRule="auto"/>
        <w:rPr>
          <w:rFonts w:hint="eastAsia" w:ascii="黑体" w:hAnsi="黑体" w:eastAsia="黑体"/>
          <w:sz w:val="32"/>
          <w:szCs w:val="28"/>
        </w:rPr>
      </w:pPr>
      <w:r>
        <w:rPr>
          <w:rFonts w:hint="eastAsia" w:ascii="黑体" w:hAnsi="黑体" w:eastAsia="黑体"/>
          <w:sz w:val="32"/>
          <w:szCs w:val="28"/>
        </w:rPr>
        <w:t>一、行业标准</w:t>
      </w:r>
    </w:p>
    <w:tbl>
      <w:tblPr>
        <w:tblStyle w:val="11"/>
        <w:tblW w:w="504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8" w:type="dxa"/>
          <w:bottom w:w="0" w:type="dxa"/>
          <w:right w:w="28" w:type="dxa"/>
        </w:tblCellMar>
      </w:tblPr>
      <w:tblGrid>
        <w:gridCol w:w="564"/>
        <w:gridCol w:w="1139"/>
        <w:gridCol w:w="1567"/>
        <w:gridCol w:w="5552"/>
        <w:gridCol w:w="712"/>
        <w:gridCol w:w="1126"/>
        <w:gridCol w:w="850"/>
        <w:gridCol w:w="992"/>
        <w:gridCol w:w="281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568" w:hRule="atLeast"/>
          <w:tblHeader/>
        </w:trPr>
        <w:tc>
          <w:tcPr>
            <w:tcW w:w="562" w:type="dxa"/>
            <w:vAlign w:val="center"/>
          </w:tcPr>
          <w:p>
            <w:pPr>
              <w:jc w:val="center"/>
              <w:rPr>
                <w:rFonts w:hint="eastAsia" w:ascii="宋体" w:hAnsi="宋体" w:eastAsia="宋体" w:cs="Times New Roman"/>
                <w:b/>
                <w:bCs/>
                <w:kern w:val="0"/>
                <w:szCs w:val="21"/>
              </w:rPr>
            </w:pPr>
            <w:r>
              <w:rPr>
                <w:rFonts w:hint="eastAsia" w:ascii="宋体" w:hAnsi="宋体" w:eastAsia="宋体" w:cs="Times New Roman"/>
                <w:b/>
                <w:bCs/>
                <w:kern w:val="0"/>
                <w:szCs w:val="21"/>
              </w:rPr>
              <w:t>序号</w:t>
            </w:r>
          </w:p>
        </w:tc>
        <w:tc>
          <w:tcPr>
            <w:tcW w:w="1134" w:type="dxa"/>
            <w:vAlign w:val="center"/>
          </w:tcPr>
          <w:p>
            <w:pPr>
              <w:jc w:val="center"/>
              <w:rPr>
                <w:rFonts w:hint="eastAsia" w:ascii="宋体" w:hAnsi="宋体" w:eastAsia="宋体" w:cs="Times New Roman"/>
                <w:b/>
                <w:bCs/>
                <w:kern w:val="0"/>
                <w:szCs w:val="21"/>
              </w:rPr>
            </w:pPr>
            <w:r>
              <w:rPr>
                <w:rFonts w:hint="eastAsia" w:ascii="宋体" w:hAnsi="宋体" w:eastAsia="宋体" w:cs="Times New Roman"/>
                <w:b/>
                <w:bCs/>
                <w:kern w:val="0"/>
                <w:szCs w:val="21"/>
              </w:rPr>
              <w:t>计划编号</w:t>
            </w:r>
          </w:p>
        </w:tc>
        <w:tc>
          <w:tcPr>
            <w:tcW w:w="1560" w:type="dxa"/>
            <w:vAlign w:val="center"/>
          </w:tcPr>
          <w:p>
            <w:pPr>
              <w:jc w:val="center"/>
              <w:rPr>
                <w:rFonts w:hint="eastAsia" w:ascii="宋体" w:hAnsi="宋体" w:eastAsia="宋体" w:cs="Times New Roman"/>
                <w:b/>
                <w:bCs/>
                <w:kern w:val="0"/>
                <w:szCs w:val="21"/>
              </w:rPr>
            </w:pPr>
            <w:r>
              <w:rPr>
                <w:rFonts w:hint="eastAsia" w:ascii="宋体" w:hAnsi="宋体" w:eastAsia="宋体" w:cs="Times New Roman"/>
                <w:b/>
                <w:bCs/>
                <w:kern w:val="0"/>
                <w:szCs w:val="21"/>
              </w:rPr>
              <w:t>项目名称</w:t>
            </w:r>
          </w:p>
        </w:tc>
        <w:tc>
          <w:tcPr>
            <w:tcW w:w="5528" w:type="dxa"/>
            <w:vAlign w:val="center"/>
          </w:tcPr>
          <w:p>
            <w:pPr>
              <w:jc w:val="center"/>
              <w:rPr>
                <w:rFonts w:hint="eastAsia" w:ascii="宋体" w:hAnsi="宋体" w:eastAsia="宋体" w:cs="Times New Roman"/>
                <w:b/>
                <w:bCs/>
                <w:kern w:val="0"/>
                <w:szCs w:val="21"/>
              </w:rPr>
            </w:pPr>
            <w:r>
              <w:rPr>
                <w:rFonts w:hint="eastAsia" w:ascii="宋体" w:hAnsi="宋体" w:eastAsia="宋体" w:cs="Times New Roman"/>
                <w:b/>
                <w:bCs/>
                <w:kern w:val="0"/>
                <w:szCs w:val="21"/>
              </w:rPr>
              <w:t>范围和主要技术内容</w:t>
            </w:r>
          </w:p>
        </w:tc>
        <w:tc>
          <w:tcPr>
            <w:tcW w:w="709" w:type="dxa"/>
            <w:vAlign w:val="center"/>
          </w:tcPr>
          <w:p>
            <w:pPr>
              <w:jc w:val="center"/>
              <w:rPr>
                <w:rFonts w:hint="eastAsia" w:ascii="宋体" w:hAnsi="宋体" w:eastAsia="宋体" w:cs="Times New Roman"/>
                <w:b/>
                <w:bCs/>
                <w:kern w:val="0"/>
                <w:szCs w:val="21"/>
              </w:rPr>
            </w:pPr>
            <w:r>
              <w:rPr>
                <w:rFonts w:hint="eastAsia" w:ascii="宋体" w:hAnsi="宋体" w:eastAsia="宋体" w:cs="Times New Roman"/>
                <w:b/>
                <w:bCs/>
                <w:kern w:val="0"/>
                <w:szCs w:val="21"/>
              </w:rPr>
              <w:t>制修订</w:t>
            </w:r>
          </w:p>
        </w:tc>
        <w:tc>
          <w:tcPr>
            <w:tcW w:w="1121" w:type="dxa"/>
            <w:vAlign w:val="center"/>
          </w:tcPr>
          <w:p>
            <w:pPr>
              <w:jc w:val="center"/>
              <w:rPr>
                <w:rFonts w:hint="eastAsia" w:ascii="宋体" w:hAnsi="宋体" w:eastAsia="宋体" w:cs="Times New Roman"/>
                <w:b/>
                <w:bCs/>
                <w:kern w:val="0"/>
                <w:szCs w:val="21"/>
              </w:rPr>
            </w:pPr>
            <w:r>
              <w:rPr>
                <w:rFonts w:hint="eastAsia" w:ascii="宋体" w:hAnsi="宋体" w:eastAsia="宋体" w:cs="Times New Roman"/>
                <w:b/>
                <w:bCs/>
                <w:kern w:val="0"/>
                <w:szCs w:val="21"/>
              </w:rPr>
              <w:t>代替标准</w:t>
            </w:r>
          </w:p>
        </w:tc>
        <w:tc>
          <w:tcPr>
            <w:tcW w:w="846" w:type="dxa"/>
            <w:vAlign w:val="center"/>
          </w:tcPr>
          <w:p>
            <w:pPr>
              <w:jc w:val="center"/>
              <w:rPr>
                <w:rFonts w:hint="eastAsia" w:ascii="宋体" w:hAnsi="宋体" w:eastAsia="宋体" w:cs="Times New Roman"/>
                <w:b/>
                <w:bCs/>
                <w:kern w:val="0"/>
                <w:szCs w:val="21"/>
              </w:rPr>
            </w:pPr>
            <w:r>
              <w:rPr>
                <w:rFonts w:hint="eastAsia" w:ascii="宋体" w:hAnsi="宋体" w:eastAsia="宋体" w:cs="Times New Roman"/>
                <w:b/>
                <w:bCs/>
                <w:kern w:val="0"/>
                <w:szCs w:val="21"/>
              </w:rPr>
              <w:t>完成周期(月)</w:t>
            </w:r>
          </w:p>
        </w:tc>
        <w:tc>
          <w:tcPr>
            <w:tcW w:w="988" w:type="dxa"/>
            <w:vAlign w:val="center"/>
          </w:tcPr>
          <w:p>
            <w:pPr>
              <w:jc w:val="center"/>
              <w:rPr>
                <w:rFonts w:hint="eastAsia" w:ascii="宋体" w:hAnsi="宋体" w:eastAsia="宋体" w:cs="Times New Roman"/>
                <w:b/>
                <w:bCs/>
                <w:kern w:val="0"/>
                <w:szCs w:val="21"/>
              </w:rPr>
            </w:pPr>
            <w:r>
              <w:rPr>
                <w:rFonts w:hint="eastAsia" w:ascii="宋体" w:hAnsi="宋体" w:eastAsia="宋体" w:cs="Times New Roman"/>
                <w:b/>
                <w:bCs/>
                <w:kern w:val="0"/>
                <w:szCs w:val="21"/>
              </w:rPr>
              <w:t>技术归口单位</w:t>
            </w:r>
          </w:p>
        </w:tc>
        <w:tc>
          <w:tcPr>
            <w:tcW w:w="2799" w:type="dxa"/>
            <w:vAlign w:val="center"/>
          </w:tcPr>
          <w:p>
            <w:pPr>
              <w:jc w:val="center"/>
              <w:rPr>
                <w:rFonts w:hint="eastAsia" w:ascii="宋体" w:hAnsi="宋体" w:eastAsia="宋体" w:cs="Times New Roman"/>
                <w:b/>
                <w:bCs/>
                <w:kern w:val="0"/>
                <w:szCs w:val="21"/>
              </w:rPr>
            </w:pPr>
            <w:r>
              <w:rPr>
                <w:rFonts w:hint="eastAsia" w:ascii="宋体" w:hAnsi="宋体" w:eastAsia="宋体" w:cs="Times New Roman"/>
                <w:b/>
                <w:bCs/>
                <w:kern w:val="0"/>
                <w:szCs w:val="21"/>
              </w:rPr>
              <w:t>主要起草单位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568" w:hRule="atLeast"/>
        </w:trPr>
        <w:tc>
          <w:tcPr>
            <w:tcW w:w="562" w:type="dxa"/>
            <w:vAlign w:val="center"/>
          </w:tcPr>
          <w:p>
            <w:pPr>
              <w:jc w:val="center"/>
              <w:rPr>
                <w:rFonts w:hint="eastAsia" w:ascii="宋体" w:hAnsi="宋体" w:eastAsia="宋体" w:cs="Times New Roman"/>
                <w:bCs/>
                <w:kern w:val="0"/>
                <w:szCs w:val="21"/>
              </w:rPr>
            </w:pPr>
            <w:r>
              <w:rPr>
                <w:rFonts w:hint="eastAsia" w:ascii="宋体" w:hAnsi="宋体" w:eastAsia="宋体" w:cs="Times New Roman"/>
                <w:bCs/>
                <w:kern w:val="0"/>
                <w:szCs w:val="21"/>
              </w:rPr>
              <w:t>1</w:t>
            </w:r>
          </w:p>
        </w:tc>
        <w:tc>
          <w:tcPr>
            <w:tcW w:w="1134" w:type="dxa"/>
            <w:vAlign w:val="center"/>
          </w:tcPr>
          <w:p>
            <w:pPr>
              <w:jc w:val="center"/>
              <w:rPr>
                <w:rFonts w:hint="eastAsia" w:ascii="宋体" w:hAnsi="宋体" w:eastAsia="宋体" w:cs="Times New Roman"/>
                <w:kern w:val="0"/>
                <w:szCs w:val="21"/>
              </w:rPr>
            </w:pPr>
            <w:r>
              <w:rPr>
                <w:rFonts w:hint="eastAsia" w:ascii="宋体" w:hAnsi="宋体" w:eastAsia="宋体"/>
                <w:kern w:val="0"/>
                <w:szCs w:val="21"/>
              </w:rPr>
              <w:t>JT 2024-01</w:t>
            </w:r>
          </w:p>
        </w:tc>
        <w:tc>
          <w:tcPr>
            <w:tcW w:w="1560" w:type="dxa"/>
            <w:vAlign w:val="center"/>
          </w:tcPr>
          <w:p>
            <w:pPr>
              <w:rPr>
                <w:rFonts w:hint="eastAsia" w:ascii="宋体" w:hAnsi="宋体" w:eastAsia="宋体" w:cs="Times New Roman"/>
                <w:kern w:val="0"/>
                <w:szCs w:val="21"/>
              </w:rPr>
            </w:pPr>
            <w:r>
              <w:rPr>
                <w:rFonts w:ascii="宋体" w:hAnsi="宋体" w:eastAsia="宋体" w:cs="Times New Roman"/>
                <w:kern w:val="0"/>
                <w:szCs w:val="21"/>
              </w:rPr>
              <w:t>交通运输标准制定、修订程序和要求</w:t>
            </w:r>
          </w:p>
        </w:tc>
        <w:tc>
          <w:tcPr>
            <w:tcW w:w="5528" w:type="dxa"/>
            <w:vAlign w:val="center"/>
          </w:tcPr>
          <w:p>
            <w:pPr>
              <w:widowControl/>
              <w:rPr>
                <w:rFonts w:hint="eastAsia" w:ascii="宋体" w:hAnsi="宋体" w:eastAsia="宋体" w:cs="Times New Roman"/>
                <w:kern w:val="0"/>
                <w:szCs w:val="21"/>
              </w:rPr>
            </w:pPr>
            <w:r>
              <w:rPr>
                <w:rFonts w:ascii="宋体" w:hAnsi="宋体" w:eastAsia="宋体" w:cs="Times New Roman"/>
                <w:kern w:val="0"/>
                <w:szCs w:val="21"/>
              </w:rPr>
              <w:t>现行标准规定了交通运输标准制定、修订的基本要求，标准制定、修订的预阶段及立项、起草、征求意见、审查、批准、出版、复审和废止各阶段的程序和要求</w:t>
            </w:r>
            <w:r>
              <w:rPr>
                <w:rFonts w:hint="eastAsia" w:ascii="宋体" w:hAnsi="宋体" w:eastAsia="宋体" w:cs="Times New Roman"/>
                <w:kern w:val="0"/>
                <w:szCs w:val="21"/>
              </w:rPr>
              <w:t>。</w:t>
            </w:r>
          </w:p>
          <w:p>
            <w:pPr>
              <w:widowControl/>
              <w:rPr>
                <w:rFonts w:hint="eastAsia" w:ascii="宋体" w:hAnsi="宋体" w:eastAsia="宋体" w:cs="Times New Roman"/>
                <w:kern w:val="0"/>
                <w:szCs w:val="21"/>
              </w:rPr>
            </w:pPr>
            <w:r>
              <w:rPr>
                <w:rFonts w:ascii="宋体" w:hAnsi="宋体" w:eastAsia="宋体" w:cs="Times New Roman"/>
                <w:kern w:val="0"/>
                <w:szCs w:val="21"/>
              </w:rPr>
              <w:t>适用于综合交通运输和公路、水路领域交通运输标准的制定、修订管理。铁路、民航和邮政领域标准可参照使用，不适用于公路、水路领域工程建设标准的制定、修订管理。</w:t>
            </w:r>
          </w:p>
          <w:p>
            <w:pPr>
              <w:widowControl/>
              <w:rPr>
                <w:rFonts w:hint="eastAsia" w:ascii="宋体" w:hAnsi="宋体" w:eastAsia="宋体" w:cs="Times New Roman"/>
                <w:kern w:val="0"/>
                <w:szCs w:val="21"/>
              </w:rPr>
            </w:pPr>
            <w:r>
              <w:rPr>
                <w:rFonts w:ascii="宋体" w:hAnsi="宋体" w:eastAsia="宋体" w:cs="Times New Roman"/>
                <w:kern w:val="0"/>
                <w:szCs w:val="21"/>
              </w:rPr>
              <w:t>主要修订内容：1.修订交通运输标准制定、修订的基本要求；2.完善交通运输标准立项审核和专家评估程序要求；3.强化交通运输标准计划项目起草、征求意见、审查、报批、发布等过程管理程序要求；4.规范交通运输标准实施评估和复审的程序要求；5.完善交通运输标准信息化管理程序要求。</w:t>
            </w:r>
          </w:p>
        </w:tc>
        <w:tc>
          <w:tcPr>
            <w:tcW w:w="709" w:type="dxa"/>
            <w:vAlign w:val="center"/>
          </w:tcPr>
          <w:p>
            <w:pPr>
              <w:jc w:val="center"/>
              <w:rPr>
                <w:rFonts w:hint="eastAsia" w:ascii="宋体" w:hAnsi="宋体" w:eastAsia="宋体" w:cs="Times New Roman"/>
                <w:kern w:val="0"/>
                <w:szCs w:val="21"/>
              </w:rPr>
            </w:pPr>
            <w:r>
              <w:rPr>
                <w:rFonts w:ascii="宋体" w:hAnsi="宋体" w:eastAsia="宋体" w:cs="Times New Roman"/>
                <w:kern w:val="0"/>
                <w:szCs w:val="21"/>
              </w:rPr>
              <w:t>修订</w:t>
            </w:r>
          </w:p>
        </w:tc>
        <w:tc>
          <w:tcPr>
            <w:tcW w:w="1121" w:type="dxa"/>
            <w:vAlign w:val="center"/>
          </w:tcPr>
          <w:p>
            <w:pPr>
              <w:jc w:val="center"/>
              <w:rPr>
                <w:rFonts w:hint="eastAsia" w:ascii="宋体" w:hAnsi="宋体" w:eastAsia="宋体" w:cs="Times New Roman"/>
                <w:kern w:val="0"/>
                <w:szCs w:val="21"/>
              </w:rPr>
            </w:pPr>
            <w:r>
              <w:rPr>
                <w:rFonts w:ascii="宋体" w:hAnsi="宋体" w:eastAsia="宋体" w:cs="Times New Roman"/>
                <w:kern w:val="0"/>
                <w:szCs w:val="21"/>
              </w:rPr>
              <w:t>JT/T 18</w:t>
            </w:r>
            <w:r>
              <w:rPr>
                <w:rFonts w:hint="eastAsia" w:ascii="宋体" w:hAnsi="宋体" w:eastAsia="宋体" w:cs="Times New Roman"/>
                <w:kern w:val="0"/>
                <w:szCs w:val="21"/>
              </w:rPr>
              <w:t>—</w:t>
            </w:r>
            <w:r>
              <w:rPr>
                <w:rFonts w:ascii="宋体" w:hAnsi="宋体" w:eastAsia="宋体" w:cs="Times New Roman"/>
                <w:kern w:val="0"/>
                <w:szCs w:val="21"/>
              </w:rPr>
              <w:t>2020</w:t>
            </w:r>
          </w:p>
        </w:tc>
        <w:tc>
          <w:tcPr>
            <w:tcW w:w="846" w:type="dxa"/>
            <w:vAlign w:val="center"/>
          </w:tcPr>
          <w:p>
            <w:pPr>
              <w:jc w:val="center"/>
              <w:rPr>
                <w:rFonts w:hint="eastAsia" w:ascii="宋体" w:hAnsi="宋体" w:eastAsia="宋体" w:cs="Times New Roman"/>
                <w:kern w:val="0"/>
                <w:szCs w:val="21"/>
              </w:rPr>
            </w:pPr>
            <w:r>
              <w:rPr>
                <w:rFonts w:ascii="宋体" w:hAnsi="宋体" w:eastAsia="宋体" w:cs="Times New Roman"/>
                <w:kern w:val="0"/>
                <w:szCs w:val="21"/>
              </w:rPr>
              <w:t>12</w:t>
            </w:r>
          </w:p>
        </w:tc>
        <w:tc>
          <w:tcPr>
            <w:tcW w:w="988" w:type="dxa"/>
            <w:vAlign w:val="center"/>
          </w:tcPr>
          <w:p>
            <w:pPr>
              <w:jc w:val="center"/>
              <w:rPr>
                <w:rFonts w:hint="eastAsia" w:ascii="宋体" w:hAnsi="宋体" w:eastAsia="宋体" w:cs="Times New Roman"/>
                <w:kern w:val="0"/>
                <w:szCs w:val="21"/>
              </w:rPr>
            </w:pPr>
            <w:r>
              <w:rPr>
                <w:rFonts w:ascii="宋体" w:hAnsi="宋体" w:eastAsia="宋体" w:cs="Times New Roman"/>
                <w:kern w:val="0"/>
                <w:szCs w:val="21"/>
              </w:rPr>
              <w:t>科技司</w:t>
            </w:r>
          </w:p>
        </w:tc>
        <w:tc>
          <w:tcPr>
            <w:tcW w:w="2799" w:type="dxa"/>
            <w:vAlign w:val="center"/>
          </w:tcPr>
          <w:p>
            <w:pPr>
              <w:rPr>
                <w:rFonts w:hint="eastAsia" w:ascii="宋体" w:hAnsi="宋体" w:eastAsia="宋体" w:cs="Times New Roman"/>
                <w:kern w:val="0"/>
                <w:szCs w:val="21"/>
              </w:rPr>
            </w:pPr>
            <w:r>
              <w:rPr>
                <w:rFonts w:ascii="宋体" w:hAnsi="宋体" w:eastAsia="宋体" w:cs="Times New Roman"/>
                <w:kern w:val="0"/>
                <w:szCs w:val="21"/>
              </w:rPr>
              <w:t>交通运输部科学研究院</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568" w:hRule="atLeast"/>
        </w:trPr>
        <w:tc>
          <w:tcPr>
            <w:tcW w:w="562" w:type="dxa"/>
            <w:vAlign w:val="center"/>
          </w:tcPr>
          <w:p>
            <w:pPr>
              <w:jc w:val="center"/>
              <w:rPr>
                <w:rFonts w:hint="eastAsia" w:ascii="宋体" w:hAnsi="宋体" w:eastAsia="宋体" w:cs="Times New Roman"/>
                <w:bCs/>
                <w:kern w:val="0"/>
                <w:szCs w:val="21"/>
              </w:rPr>
            </w:pPr>
            <w:r>
              <w:rPr>
                <w:rFonts w:hint="eastAsia" w:ascii="宋体" w:hAnsi="宋体" w:eastAsia="宋体" w:cs="Times New Roman"/>
                <w:bCs/>
                <w:kern w:val="0"/>
                <w:szCs w:val="21"/>
              </w:rPr>
              <w:t>2</w:t>
            </w:r>
          </w:p>
        </w:tc>
        <w:tc>
          <w:tcPr>
            <w:tcW w:w="1134" w:type="dxa"/>
            <w:vAlign w:val="center"/>
          </w:tcPr>
          <w:p>
            <w:pPr>
              <w:jc w:val="center"/>
              <w:rPr>
                <w:rFonts w:hint="eastAsia" w:ascii="宋体" w:hAnsi="宋体" w:eastAsia="宋体"/>
                <w:kern w:val="0"/>
                <w:szCs w:val="21"/>
              </w:rPr>
            </w:pPr>
            <w:r>
              <w:rPr>
                <w:rFonts w:hint="eastAsia" w:ascii="宋体" w:hAnsi="宋体" w:eastAsia="宋体"/>
                <w:kern w:val="0"/>
                <w:szCs w:val="21"/>
              </w:rPr>
              <w:t>JT 2024-02</w:t>
            </w:r>
          </w:p>
        </w:tc>
        <w:tc>
          <w:tcPr>
            <w:tcW w:w="1560" w:type="dxa"/>
            <w:vAlign w:val="center"/>
          </w:tcPr>
          <w:p>
            <w:pPr>
              <w:rPr>
                <w:rFonts w:hint="eastAsia" w:ascii="宋体" w:hAnsi="宋体" w:eastAsia="宋体" w:cs="Times New Roman"/>
                <w:kern w:val="0"/>
                <w:szCs w:val="21"/>
              </w:rPr>
            </w:pPr>
            <w:r>
              <w:rPr>
                <w:rFonts w:ascii="宋体" w:hAnsi="宋体" w:eastAsia="宋体" w:cs="Times New Roman"/>
                <w:kern w:val="0"/>
                <w:szCs w:val="21"/>
              </w:rPr>
              <w:t>快件航空运输安检数据交换规范</w:t>
            </w:r>
          </w:p>
        </w:tc>
        <w:tc>
          <w:tcPr>
            <w:tcW w:w="5528" w:type="dxa"/>
            <w:vAlign w:val="center"/>
          </w:tcPr>
          <w:p>
            <w:pPr>
              <w:rPr>
                <w:rFonts w:hint="eastAsia" w:ascii="宋体" w:hAnsi="宋体" w:eastAsia="宋体" w:cs="Times New Roman"/>
                <w:kern w:val="0"/>
                <w:szCs w:val="21"/>
              </w:rPr>
            </w:pPr>
            <w:r>
              <w:rPr>
                <w:rFonts w:ascii="宋体" w:hAnsi="宋体" w:eastAsia="宋体" w:cs="Times New Roman"/>
                <w:kern w:val="0"/>
                <w:szCs w:val="21"/>
              </w:rPr>
              <w:t>拟规定快件航空运输安检的信息交换需求、信息交换流程、通信协议、报文规范、异常处置、数据交换安全和数据交换频次。</w:t>
            </w:r>
          </w:p>
          <w:p>
            <w:pPr>
              <w:rPr>
                <w:rFonts w:hint="eastAsia" w:ascii="宋体" w:hAnsi="宋体" w:eastAsia="宋体" w:cs="Times New Roman"/>
                <w:kern w:val="0"/>
                <w:szCs w:val="21"/>
              </w:rPr>
            </w:pPr>
            <w:r>
              <w:rPr>
                <w:rFonts w:ascii="宋体" w:hAnsi="宋体" w:eastAsia="宋体" w:cs="Times New Roman"/>
                <w:kern w:val="0"/>
                <w:szCs w:val="21"/>
              </w:rPr>
              <w:t>适用于快递服务主体与航空运输企业之间开展快件运输业务而进行的安检数据交换。</w:t>
            </w:r>
          </w:p>
        </w:tc>
        <w:tc>
          <w:tcPr>
            <w:tcW w:w="709" w:type="dxa"/>
            <w:vAlign w:val="center"/>
          </w:tcPr>
          <w:p>
            <w:pPr>
              <w:jc w:val="center"/>
              <w:rPr>
                <w:rFonts w:hint="eastAsia" w:ascii="宋体" w:hAnsi="宋体" w:eastAsia="宋体" w:cs="宋体"/>
                <w:kern w:val="0"/>
                <w:szCs w:val="21"/>
              </w:rPr>
            </w:pPr>
            <w:r>
              <w:rPr>
                <w:rFonts w:hint="eastAsia" w:ascii="宋体" w:hAnsi="宋体" w:eastAsia="宋体" w:cs="宋体"/>
                <w:kern w:val="0"/>
                <w:szCs w:val="21"/>
              </w:rPr>
              <w:t>制定</w:t>
            </w:r>
          </w:p>
        </w:tc>
        <w:tc>
          <w:tcPr>
            <w:tcW w:w="1121" w:type="dxa"/>
            <w:vAlign w:val="center"/>
          </w:tcPr>
          <w:p>
            <w:pPr>
              <w:jc w:val="center"/>
              <w:rPr>
                <w:rFonts w:hint="eastAsia" w:ascii="宋体" w:hAnsi="宋体" w:eastAsia="宋体" w:cs="宋体"/>
                <w:kern w:val="0"/>
                <w:szCs w:val="21"/>
              </w:rPr>
            </w:pPr>
          </w:p>
        </w:tc>
        <w:tc>
          <w:tcPr>
            <w:tcW w:w="846" w:type="dxa"/>
            <w:vAlign w:val="center"/>
          </w:tcPr>
          <w:p>
            <w:pPr>
              <w:jc w:val="center"/>
              <w:rPr>
                <w:rFonts w:hint="eastAsia" w:ascii="宋体" w:hAnsi="宋体" w:eastAsia="宋体" w:cs="宋体"/>
                <w:kern w:val="0"/>
                <w:szCs w:val="21"/>
              </w:rPr>
            </w:pPr>
            <w:r>
              <w:rPr>
                <w:rFonts w:ascii="宋体" w:hAnsi="宋体" w:eastAsia="宋体" w:cs="宋体"/>
                <w:kern w:val="0"/>
                <w:szCs w:val="21"/>
              </w:rPr>
              <w:t>12</w:t>
            </w:r>
          </w:p>
        </w:tc>
        <w:tc>
          <w:tcPr>
            <w:tcW w:w="988" w:type="dxa"/>
            <w:vAlign w:val="center"/>
          </w:tcPr>
          <w:p>
            <w:pPr>
              <w:jc w:val="center"/>
              <w:rPr>
                <w:rFonts w:hint="eastAsia" w:ascii="宋体" w:hAnsi="宋体" w:eastAsia="宋体" w:cs="宋体"/>
                <w:kern w:val="0"/>
                <w:szCs w:val="21"/>
              </w:rPr>
            </w:pPr>
            <w:r>
              <w:rPr>
                <w:rFonts w:ascii="宋体" w:hAnsi="宋体" w:eastAsia="宋体" w:cs="宋体"/>
                <w:kern w:val="0"/>
                <w:szCs w:val="21"/>
              </w:rPr>
              <w:t>综合运输标委会</w:t>
            </w:r>
          </w:p>
        </w:tc>
        <w:tc>
          <w:tcPr>
            <w:tcW w:w="2799" w:type="dxa"/>
            <w:vAlign w:val="center"/>
          </w:tcPr>
          <w:p>
            <w:pPr>
              <w:rPr>
                <w:rFonts w:hint="eastAsia" w:ascii="宋体" w:hAnsi="宋体" w:eastAsia="宋体" w:cs="宋体"/>
                <w:kern w:val="0"/>
                <w:szCs w:val="21"/>
              </w:rPr>
            </w:pPr>
            <w:r>
              <w:rPr>
                <w:rFonts w:ascii="宋体" w:hAnsi="宋体" w:eastAsia="宋体" w:cs="宋体"/>
                <w:kern w:val="0"/>
                <w:szCs w:val="21"/>
              </w:rPr>
              <w:t>中国民航大学、国家邮政局邮政</w:t>
            </w:r>
            <w:r>
              <w:rPr>
                <w:rFonts w:hint="eastAsia" w:ascii="宋体" w:hAnsi="宋体" w:eastAsia="宋体" w:cs="宋体"/>
                <w:kern w:val="0"/>
                <w:szCs w:val="21"/>
              </w:rPr>
              <w:t>业</w:t>
            </w:r>
            <w:r>
              <w:rPr>
                <w:rFonts w:ascii="宋体" w:hAnsi="宋体" w:eastAsia="宋体" w:cs="宋体"/>
                <w:kern w:val="0"/>
                <w:szCs w:val="21"/>
              </w:rPr>
              <w:t>安全中心、西安航空职业技术学院、天信达信息技术有限公司、首都机场集团有限公司、深圳市机场股份有限公司、顺丰航空有限公司杭州分公司、浙江顺尚物流有限公司、同方威视技术股份有限公司</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568" w:hRule="atLeast"/>
        </w:trPr>
        <w:tc>
          <w:tcPr>
            <w:tcW w:w="562" w:type="dxa"/>
            <w:vAlign w:val="center"/>
          </w:tcPr>
          <w:p>
            <w:pPr>
              <w:jc w:val="center"/>
              <w:rPr>
                <w:rFonts w:hint="eastAsia" w:ascii="宋体" w:hAnsi="宋体" w:eastAsia="宋体" w:cs="Times New Roman"/>
                <w:bCs/>
                <w:kern w:val="0"/>
                <w:szCs w:val="21"/>
              </w:rPr>
            </w:pPr>
            <w:r>
              <w:rPr>
                <w:rFonts w:hint="eastAsia" w:ascii="宋体" w:hAnsi="宋体" w:eastAsia="宋体" w:cs="Times New Roman"/>
                <w:bCs/>
                <w:kern w:val="0"/>
                <w:szCs w:val="21"/>
              </w:rPr>
              <w:t>3</w:t>
            </w:r>
          </w:p>
        </w:tc>
        <w:tc>
          <w:tcPr>
            <w:tcW w:w="1134" w:type="dxa"/>
            <w:vAlign w:val="center"/>
          </w:tcPr>
          <w:p>
            <w:pPr>
              <w:jc w:val="center"/>
              <w:rPr>
                <w:rFonts w:hint="eastAsia" w:ascii="宋体" w:hAnsi="宋体" w:eastAsia="宋体" w:cs="Times New Roman"/>
                <w:kern w:val="0"/>
                <w:szCs w:val="21"/>
              </w:rPr>
            </w:pPr>
            <w:r>
              <w:rPr>
                <w:rFonts w:hint="eastAsia" w:ascii="宋体" w:hAnsi="宋体" w:eastAsia="宋体"/>
                <w:kern w:val="0"/>
                <w:szCs w:val="21"/>
              </w:rPr>
              <w:t>JT 2024-03</w:t>
            </w:r>
          </w:p>
        </w:tc>
        <w:tc>
          <w:tcPr>
            <w:tcW w:w="1560" w:type="dxa"/>
            <w:vAlign w:val="center"/>
          </w:tcPr>
          <w:p>
            <w:pPr>
              <w:rPr>
                <w:rFonts w:hint="eastAsia" w:ascii="宋体" w:hAnsi="宋体" w:eastAsia="宋体" w:cs="Times New Roman"/>
                <w:kern w:val="0"/>
                <w:szCs w:val="21"/>
              </w:rPr>
            </w:pPr>
            <w:r>
              <w:rPr>
                <w:rFonts w:ascii="宋体" w:hAnsi="宋体" w:eastAsia="宋体" w:cs="Times New Roman"/>
                <w:kern w:val="0"/>
                <w:szCs w:val="21"/>
              </w:rPr>
              <w:t>综合客运枢纽连接系统与集疏运体系规划设计导则</w:t>
            </w:r>
          </w:p>
        </w:tc>
        <w:tc>
          <w:tcPr>
            <w:tcW w:w="5528" w:type="dxa"/>
            <w:vAlign w:val="center"/>
          </w:tcPr>
          <w:p>
            <w:pPr>
              <w:rPr>
                <w:rFonts w:hint="eastAsia" w:ascii="宋体" w:hAnsi="宋体" w:eastAsia="宋体" w:cs="Times New Roman"/>
                <w:kern w:val="0"/>
                <w:szCs w:val="21"/>
              </w:rPr>
            </w:pPr>
            <w:r>
              <w:rPr>
                <w:rFonts w:ascii="宋体" w:hAnsi="宋体" w:eastAsia="宋体" w:cs="Times New Roman"/>
                <w:kern w:val="0"/>
                <w:szCs w:val="21"/>
              </w:rPr>
              <w:t>拟规定综合客运枢纽连接系统与集疏运体系规划设计的总体要求和连接系统、集疏运网络、集疏运交通组织等方面的技术要求。</w:t>
            </w:r>
          </w:p>
          <w:p>
            <w:pPr>
              <w:rPr>
                <w:rFonts w:hint="eastAsia" w:ascii="宋体" w:hAnsi="宋体" w:eastAsia="宋体" w:cs="Times New Roman"/>
                <w:kern w:val="0"/>
                <w:szCs w:val="21"/>
              </w:rPr>
            </w:pPr>
            <w:r>
              <w:rPr>
                <w:rFonts w:ascii="宋体" w:hAnsi="宋体" w:eastAsia="宋体" w:cs="Times New Roman"/>
                <w:kern w:val="0"/>
                <w:szCs w:val="21"/>
              </w:rPr>
              <w:t>适用于新建综合客运枢纽的连接系统与集疏运体系规划、设计、建设、运营与管理，改扩建项目参照使用。</w:t>
            </w:r>
          </w:p>
        </w:tc>
        <w:tc>
          <w:tcPr>
            <w:tcW w:w="709" w:type="dxa"/>
            <w:vAlign w:val="center"/>
          </w:tcPr>
          <w:p>
            <w:pPr>
              <w:jc w:val="center"/>
              <w:rPr>
                <w:rFonts w:hint="eastAsia" w:ascii="宋体" w:hAnsi="宋体" w:eastAsia="宋体" w:cs="宋体"/>
                <w:kern w:val="0"/>
                <w:szCs w:val="21"/>
              </w:rPr>
            </w:pPr>
            <w:r>
              <w:rPr>
                <w:rFonts w:hint="eastAsia" w:ascii="宋体" w:hAnsi="宋体" w:eastAsia="宋体" w:cs="宋体"/>
                <w:kern w:val="0"/>
                <w:szCs w:val="21"/>
              </w:rPr>
              <w:t>制定</w:t>
            </w:r>
          </w:p>
        </w:tc>
        <w:tc>
          <w:tcPr>
            <w:tcW w:w="1121" w:type="dxa"/>
            <w:vAlign w:val="center"/>
          </w:tcPr>
          <w:p>
            <w:pPr>
              <w:jc w:val="center"/>
              <w:rPr>
                <w:rFonts w:hint="eastAsia" w:ascii="宋体" w:hAnsi="宋体" w:eastAsia="宋体" w:cs="宋体"/>
                <w:kern w:val="0"/>
                <w:szCs w:val="21"/>
              </w:rPr>
            </w:pPr>
          </w:p>
        </w:tc>
        <w:tc>
          <w:tcPr>
            <w:tcW w:w="846" w:type="dxa"/>
            <w:vAlign w:val="center"/>
          </w:tcPr>
          <w:p>
            <w:pPr>
              <w:jc w:val="center"/>
              <w:rPr>
                <w:rFonts w:hint="eastAsia" w:ascii="宋体" w:hAnsi="宋体" w:eastAsia="宋体" w:cs="宋体"/>
                <w:kern w:val="0"/>
                <w:szCs w:val="21"/>
              </w:rPr>
            </w:pPr>
            <w:r>
              <w:rPr>
                <w:rFonts w:ascii="宋体" w:hAnsi="宋体" w:eastAsia="宋体" w:cs="宋体"/>
                <w:kern w:val="0"/>
                <w:szCs w:val="21"/>
              </w:rPr>
              <w:t>12</w:t>
            </w:r>
          </w:p>
        </w:tc>
        <w:tc>
          <w:tcPr>
            <w:tcW w:w="988" w:type="dxa"/>
            <w:vAlign w:val="center"/>
          </w:tcPr>
          <w:p>
            <w:pPr>
              <w:jc w:val="center"/>
              <w:rPr>
                <w:rFonts w:hint="eastAsia" w:ascii="宋体" w:hAnsi="宋体" w:eastAsia="宋体" w:cs="宋体"/>
                <w:kern w:val="0"/>
                <w:szCs w:val="21"/>
              </w:rPr>
            </w:pPr>
            <w:r>
              <w:rPr>
                <w:rFonts w:ascii="宋体" w:hAnsi="宋体" w:eastAsia="宋体" w:cs="宋体"/>
                <w:kern w:val="0"/>
                <w:szCs w:val="21"/>
              </w:rPr>
              <w:t>综合运输标委会</w:t>
            </w:r>
          </w:p>
        </w:tc>
        <w:tc>
          <w:tcPr>
            <w:tcW w:w="2799" w:type="dxa"/>
            <w:vAlign w:val="center"/>
          </w:tcPr>
          <w:p>
            <w:pPr>
              <w:rPr>
                <w:rFonts w:hint="eastAsia" w:ascii="宋体" w:hAnsi="宋体" w:eastAsia="宋体" w:cs="宋体"/>
                <w:kern w:val="0"/>
                <w:szCs w:val="21"/>
              </w:rPr>
            </w:pPr>
            <w:r>
              <w:rPr>
                <w:rFonts w:ascii="宋体" w:hAnsi="宋体" w:eastAsia="宋体" w:cs="宋体"/>
                <w:kern w:val="0"/>
                <w:szCs w:val="21"/>
              </w:rPr>
              <w:t>交通运输部科学研究院、北京交通大学、河北省交通规划设计院</w:t>
            </w:r>
            <w:r>
              <w:rPr>
                <w:rFonts w:hint="eastAsia" w:ascii="宋体" w:hAnsi="宋体" w:eastAsia="宋体" w:cs="宋体"/>
                <w:kern w:val="0"/>
                <w:szCs w:val="21"/>
              </w:rPr>
              <w:t>有限公司</w:t>
            </w:r>
            <w:r>
              <w:rPr>
                <w:rFonts w:ascii="宋体" w:hAnsi="宋体" w:eastAsia="宋体" w:cs="宋体"/>
                <w:kern w:val="0"/>
                <w:szCs w:val="21"/>
              </w:rPr>
              <w:t>、中铁第四勘察设计院集团有限公司、中国民航科学技术研究院、西南交通大学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568" w:hRule="atLeast"/>
        </w:trPr>
        <w:tc>
          <w:tcPr>
            <w:tcW w:w="562" w:type="dxa"/>
            <w:vAlign w:val="center"/>
          </w:tcPr>
          <w:p>
            <w:pPr>
              <w:jc w:val="center"/>
              <w:rPr>
                <w:rFonts w:hint="eastAsia" w:ascii="宋体" w:hAnsi="宋体" w:eastAsia="宋体" w:cs="Times New Roman"/>
                <w:bCs/>
                <w:kern w:val="0"/>
                <w:szCs w:val="21"/>
              </w:rPr>
            </w:pPr>
            <w:r>
              <w:rPr>
                <w:rFonts w:hint="eastAsia" w:ascii="宋体" w:hAnsi="宋体" w:eastAsia="宋体" w:cs="Times New Roman"/>
                <w:bCs/>
                <w:kern w:val="0"/>
                <w:szCs w:val="21"/>
              </w:rPr>
              <w:t>4</w:t>
            </w:r>
          </w:p>
        </w:tc>
        <w:tc>
          <w:tcPr>
            <w:tcW w:w="1134" w:type="dxa"/>
            <w:vAlign w:val="center"/>
          </w:tcPr>
          <w:p>
            <w:pPr>
              <w:jc w:val="center"/>
              <w:rPr>
                <w:rFonts w:hint="eastAsia" w:ascii="宋体" w:hAnsi="宋体" w:eastAsia="宋体" w:cs="宋体"/>
                <w:color w:val="000000"/>
                <w:kern w:val="0"/>
                <w:szCs w:val="21"/>
              </w:rPr>
            </w:pPr>
            <w:r>
              <w:rPr>
                <w:rFonts w:hint="eastAsia" w:ascii="宋体" w:hAnsi="宋体" w:eastAsia="宋体"/>
                <w:kern w:val="0"/>
                <w:szCs w:val="21"/>
              </w:rPr>
              <w:t>JT 2024-04</w:t>
            </w:r>
          </w:p>
        </w:tc>
        <w:tc>
          <w:tcPr>
            <w:tcW w:w="1560" w:type="dxa"/>
            <w:vAlign w:val="center"/>
          </w:tcPr>
          <w:p>
            <w:pPr>
              <w:rPr>
                <w:rFonts w:hint="eastAsia" w:ascii="宋体" w:hAnsi="宋体" w:eastAsia="宋体" w:cs="Times New Roman"/>
                <w:kern w:val="0"/>
                <w:szCs w:val="21"/>
              </w:rPr>
            </w:pPr>
            <w:r>
              <w:rPr>
                <w:rFonts w:ascii="宋体" w:hAnsi="宋体" w:eastAsia="宋体" w:cs="Times New Roman"/>
                <w:kern w:val="0"/>
                <w:szCs w:val="21"/>
              </w:rPr>
              <w:t>综合交通运输体系规划编制技术导则</w:t>
            </w:r>
          </w:p>
        </w:tc>
        <w:tc>
          <w:tcPr>
            <w:tcW w:w="5528" w:type="dxa"/>
            <w:vAlign w:val="center"/>
          </w:tcPr>
          <w:p>
            <w:pPr>
              <w:rPr>
                <w:rFonts w:hint="eastAsia" w:ascii="宋体" w:hAnsi="宋体" w:eastAsia="宋体" w:cs="Times New Roman"/>
                <w:kern w:val="0"/>
                <w:szCs w:val="21"/>
              </w:rPr>
            </w:pPr>
            <w:r>
              <w:rPr>
                <w:rFonts w:ascii="宋体" w:hAnsi="宋体" w:eastAsia="宋体" w:cs="Times New Roman"/>
                <w:kern w:val="0"/>
                <w:szCs w:val="21"/>
              </w:rPr>
              <w:t>拟规定综合交通运输规划的术语和定义、基本要求、内容及技术要求。</w:t>
            </w:r>
          </w:p>
          <w:p>
            <w:pPr>
              <w:rPr>
                <w:rFonts w:hint="eastAsia" w:ascii="宋体" w:hAnsi="宋体" w:eastAsia="宋体" w:cs="Times New Roman"/>
                <w:kern w:val="0"/>
                <w:szCs w:val="21"/>
              </w:rPr>
            </w:pPr>
            <w:r>
              <w:rPr>
                <w:rFonts w:ascii="宋体" w:hAnsi="宋体" w:eastAsia="宋体" w:cs="Times New Roman"/>
                <w:kern w:val="0"/>
                <w:szCs w:val="21"/>
              </w:rPr>
              <w:t>适用于国家级、省级、地市级综合交通运输体系规划编制。</w:t>
            </w:r>
          </w:p>
        </w:tc>
        <w:tc>
          <w:tcPr>
            <w:tcW w:w="709" w:type="dxa"/>
            <w:vAlign w:val="center"/>
          </w:tcPr>
          <w:p>
            <w:pPr>
              <w:jc w:val="center"/>
              <w:rPr>
                <w:rFonts w:hint="eastAsia" w:ascii="宋体" w:hAnsi="宋体" w:eastAsia="宋体" w:cs="宋体"/>
                <w:kern w:val="0"/>
                <w:szCs w:val="21"/>
              </w:rPr>
            </w:pPr>
            <w:r>
              <w:rPr>
                <w:rFonts w:hint="eastAsia" w:ascii="宋体" w:hAnsi="宋体" w:eastAsia="宋体" w:cs="宋体"/>
                <w:kern w:val="0"/>
                <w:szCs w:val="21"/>
              </w:rPr>
              <w:t>制定</w:t>
            </w:r>
          </w:p>
        </w:tc>
        <w:tc>
          <w:tcPr>
            <w:tcW w:w="1121" w:type="dxa"/>
            <w:vAlign w:val="center"/>
          </w:tcPr>
          <w:p>
            <w:pPr>
              <w:jc w:val="center"/>
              <w:rPr>
                <w:rFonts w:hint="eastAsia" w:ascii="宋体" w:hAnsi="宋体" w:eastAsia="宋体" w:cs="宋体"/>
                <w:kern w:val="0"/>
                <w:szCs w:val="21"/>
              </w:rPr>
            </w:pPr>
          </w:p>
        </w:tc>
        <w:tc>
          <w:tcPr>
            <w:tcW w:w="846" w:type="dxa"/>
            <w:vAlign w:val="center"/>
          </w:tcPr>
          <w:p>
            <w:pPr>
              <w:jc w:val="center"/>
              <w:rPr>
                <w:rFonts w:hint="eastAsia" w:ascii="宋体" w:hAnsi="宋体" w:eastAsia="宋体" w:cs="宋体"/>
                <w:kern w:val="0"/>
                <w:szCs w:val="21"/>
              </w:rPr>
            </w:pPr>
            <w:r>
              <w:rPr>
                <w:rFonts w:ascii="宋体" w:hAnsi="宋体" w:eastAsia="宋体" w:cs="宋体"/>
                <w:kern w:val="0"/>
                <w:szCs w:val="21"/>
              </w:rPr>
              <w:t>12</w:t>
            </w:r>
          </w:p>
        </w:tc>
        <w:tc>
          <w:tcPr>
            <w:tcW w:w="988" w:type="dxa"/>
            <w:vAlign w:val="center"/>
          </w:tcPr>
          <w:p>
            <w:pPr>
              <w:jc w:val="center"/>
              <w:rPr>
                <w:rFonts w:hint="eastAsia" w:ascii="宋体" w:hAnsi="宋体" w:eastAsia="宋体" w:cs="宋体"/>
                <w:kern w:val="0"/>
                <w:szCs w:val="21"/>
              </w:rPr>
            </w:pPr>
            <w:r>
              <w:rPr>
                <w:rFonts w:ascii="宋体" w:hAnsi="宋体" w:eastAsia="宋体" w:cs="宋体"/>
                <w:kern w:val="0"/>
                <w:szCs w:val="21"/>
              </w:rPr>
              <w:t>综合运输标委会</w:t>
            </w:r>
          </w:p>
        </w:tc>
        <w:tc>
          <w:tcPr>
            <w:tcW w:w="2799" w:type="dxa"/>
            <w:vAlign w:val="center"/>
          </w:tcPr>
          <w:p>
            <w:pPr>
              <w:rPr>
                <w:rFonts w:hint="eastAsia" w:ascii="宋体" w:hAnsi="宋体" w:eastAsia="宋体" w:cs="宋体"/>
                <w:kern w:val="0"/>
                <w:szCs w:val="21"/>
              </w:rPr>
            </w:pPr>
            <w:r>
              <w:rPr>
                <w:rFonts w:ascii="宋体" w:hAnsi="宋体" w:eastAsia="宋体" w:cs="宋体"/>
                <w:kern w:val="0"/>
                <w:szCs w:val="21"/>
              </w:rPr>
              <w:t>交通运输部规划研究院、交通运输部科学研究院、中国民航科学技术研究院、国家铁路局规划与标准研究院、东南大学、深圳市城市交通规划设计研究中心股份有限公司</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568" w:hRule="atLeast"/>
        </w:trPr>
        <w:tc>
          <w:tcPr>
            <w:tcW w:w="562" w:type="dxa"/>
            <w:vAlign w:val="center"/>
          </w:tcPr>
          <w:p>
            <w:pPr>
              <w:jc w:val="center"/>
              <w:rPr>
                <w:rFonts w:hint="eastAsia" w:ascii="宋体" w:hAnsi="宋体" w:eastAsia="宋体" w:cs="Times New Roman"/>
                <w:bCs/>
                <w:kern w:val="0"/>
                <w:szCs w:val="21"/>
              </w:rPr>
            </w:pPr>
            <w:r>
              <w:rPr>
                <w:rFonts w:hint="eastAsia" w:ascii="宋体" w:hAnsi="宋体" w:eastAsia="宋体" w:cs="Times New Roman"/>
                <w:bCs/>
                <w:kern w:val="0"/>
                <w:szCs w:val="21"/>
              </w:rPr>
              <w:t>5</w:t>
            </w:r>
          </w:p>
        </w:tc>
        <w:tc>
          <w:tcPr>
            <w:tcW w:w="1134" w:type="dxa"/>
            <w:vAlign w:val="center"/>
          </w:tcPr>
          <w:p>
            <w:pPr>
              <w:jc w:val="center"/>
              <w:rPr>
                <w:rFonts w:hint="eastAsia" w:ascii="宋体" w:hAnsi="宋体" w:eastAsia="宋体" w:cs="宋体"/>
                <w:color w:val="000000"/>
                <w:kern w:val="0"/>
                <w:szCs w:val="21"/>
              </w:rPr>
            </w:pPr>
            <w:r>
              <w:rPr>
                <w:rFonts w:hint="eastAsia" w:ascii="宋体" w:hAnsi="宋体" w:eastAsia="宋体"/>
                <w:kern w:val="0"/>
                <w:szCs w:val="21"/>
              </w:rPr>
              <w:t>JT 2024-05</w:t>
            </w:r>
          </w:p>
        </w:tc>
        <w:tc>
          <w:tcPr>
            <w:tcW w:w="1560" w:type="dxa"/>
            <w:vAlign w:val="center"/>
          </w:tcPr>
          <w:p>
            <w:pPr>
              <w:rPr>
                <w:rFonts w:hint="eastAsia" w:ascii="宋体" w:hAnsi="宋体" w:eastAsia="宋体" w:cs="Times New Roman"/>
                <w:kern w:val="0"/>
                <w:szCs w:val="21"/>
              </w:rPr>
            </w:pPr>
            <w:r>
              <w:rPr>
                <w:rFonts w:ascii="宋体" w:hAnsi="宋体" w:eastAsia="宋体" w:cs="Times New Roman"/>
                <w:kern w:val="0"/>
                <w:szCs w:val="21"/>
              </w:rPr>
              <w:t>进港铁路专用线建设与运营技术规范</w:t>
            </w:r>
          </w:p>
        </w:tc>
        <w:tc>
          <w:tcPr>
            <w:tcW w:w="5528" w:type="dxa"/>
            <w:vAlign w:val="center"/>
          </w:tcPr>
          <w:p>
            <w:pPr>
              <w:rPr>
                <w:rFonts w:hint="eastAsia" w:ascii="宋体" w:hAnsi="宋体" w:eastAsia="宋体" w:cs="Times New Roman"/>
                <w:kern w:val="0"/>
                <w:szCs w:val="21"/>
              </w:rPr>
            </w:pPr>
            <w:r>
              <w:rPr>
                <w:rFonts w:ascii="宋体" w:hAnsi="宋体" w:eastAsia="宋体" w:cs="Times New Roman"/>
                <w:kern w:val="0"/>
                <w:szCs w:val="21"/>
              </w:rPr>
              <w:t>拟规定进港铁路专用线的基本规定</w:t>
            </w:r>
            <w:r>
              <w:rPr>
                <w:rFonts w:hint="eastAsia" w:ascii="宋体" w:hAnsi="宋体" w:eastAsia="宋体" w:cs="Times New Roman"/>
                <w:kern w:val="0"/>
                <w:szCs w:val="21"/>
              </w:rPr>
              <w:t>、</w:t>
            </w:r>
            <w:r>
              <w:rPr>
                <w:rFonts w:ascii="宋体" w:hAnsi="宋体" w:eastAsia="宋体" w:cs="Times New Roman"/>
                <w:kern w:val="0"/>
                <w:szCs w:val="21"/>
              </w:rPr>
              <w:t>运输组织、</w:t>
            </w:r>
            <w:r>
              <w:rPr>
                <w:rFonts w:hint="eastAsia" w:ascii="宋体" w:hAnsi="宋体" w:eastAsia="宋体" w:cs="Times New Roman"/>
                <w:kern w:val="0"/>
                <w:szCs w:val="21"/>
              </w:rPr>
              <w:t>港站一体化布局、铁水联运</w:t>
            </w:r>
            <w:r>
              <w:rPr>
                <w:rFonts w:ascii="宋体" w:hAnsi="宋体" w:eastAsia="宋体" w:cs="Times New Roman"/>
                <w:kern w:val="0"/>
                <w:szCs w:val="21"/>
              </w:rPr>
              <w:t>换装工艺</w:t>
            </w:r>
            <w:r>
              <w:rPr>
                <w:rFonts w:hint="eastAsia" w:ascii="宋体" w:hAnsi="宋体" w:eastAsia="宋体" w:cs="Times New Roman"/>
                <w:kern w:val="0"/>
                <w:szCs w:val="21"/>
              </w:rPr>
              <w:t>、数智化系统和</w:t>
            </w:r>
            <w:r>
              <w:rPr>
                <w:rFonts w:ascii="宋体" w:hAnsi="宋体" w:eastAsia="宋体" w:cs="Times New Roman"/>
                <w:kern w:val="0"/>
                <w:szCs w:val="21"/>
              </w:rPr>
              <w:t>运营技术。</w:t>
            </w:r>
          </w:p>
          <w:p>
            <w:pPr>
              <w:rPr>
                <w:rFonts w:hint="eastAsia" w:ascii="宋体" w:hAnsi="宋体" w:eastAsia="宋体" w:cs="Times New Roman"/>
                <w:kern w:val="0"/>
                <w:szCs w:val="21"/>
              </w:rPr>
            </w:pPr>
            <w:r>
              <w:rPr>
                <w:rFonts w:ascii="宋体" w:hAnsi="宋体" w:eastAsia="宋体" w:cs="Times New Roman"/>
                <w:kern w:val="0"/>
                <w:szCs w:val="21"/>
              </w:rPr>
              <w:t>适用于新建</w:t>
            </w:r>
            <w:r>
              <w:rPr>
                <w:rFonts w:hint="eastAsia" w:ascii="宋体" w:hAnsi="宋体" w:eastAsia="宋体" w:cs="Times New Roman"/>
                <w:kern w:val="0"/>
                <w:szCs w:val="21"/>
              </w:rPr>
              <w:t>、</w:t>
            </w:r>
            <w:r>
              <w:rPr>
                <w:rFonts w:ascii="宋体" w:hAnsi="宋体" w:eastAsia="宋体" w:cs="Times New Roman"/>
                <w:kern w:val="0"/>
                <w:szCs w:val="21"/>
              </w:rPr>
              <w:t>改扩建的进港铁路专用线</w:t>
            </w:r>
            <w:r>
              <w:rPr>
                <w:rFonts w:hint="eastAsia" w:ascii="宋体" w:hAnsi="宋体" w:eastAsia="宋体" w:cs="Times New Roman"/>
                <w:kern w:val="0"/>
                <w:szCs w:val="21"/>
              </w:rPr>
              <w:t>设计和</w:t>
            </w:r>
            <w:r>
              <w:rPr>
                <w:rFonts w:ascii="宋体" w:hAnsi="宋体" w:eastAsia="宋体" w:cs="Times New Roman"/>
                <w:kern w:val="0"/>
                <w:szCs w:val="21"/>
              </w:rPr>
              <w:t>运营。</w:t>
            </w:r>
          </w:p>
        </w:tc>
        <w:tc>
          <w:tcPr>
            <w:tcW w:w="709" w:type="dxa"/>
            <w:vAlign w:val="center"/>
          </w:tcPr>
          <w:p>
            <w:pPr>
              <w:jc w:val="center"/>
              <w:rPr>
                <w:rFonts w:hint="eastAsia" w:ascii="宋体" w:hAnsi="宋体" w:eastAsia="宋体" w:cs="宋体"/>
                <w:kern w:val="0"/>
                <w:szCs w:val="21"/>
              </w:rPr>
            </w:pPr>
            <w:r>
              <w:rPr>
                <w:rFonts w:hint="eastAsia" w:ascii="宋体" w:hAnsi="宋体" w:eastAsia="宋体" w:cs="宋体"/>
                <w:kern w:val="0"/>
                <w:szCs w:val="21"/>
              </w:rPr>
              <w:t>制定</w:t>
            </w:r>
          </w:p>
        </w:tc>
        <w:tc>
          <w:tcPr>
            <w:tcW w:w="1121" w:type="dxa"/>
            <w:vAlign w:val="center"/>
          </w:tcPr>
          <w:p>
            <w:pPr>
              <w:jc w:val="center"/>
              <w:rPr>
                <w:rFonts w:hint="eastAsia" w:ascii="宋体" w:hAnsi="宋体" w:eastAsia="宋体" w:cs="宋体"/>
                <w:kern w:val="0"/>
                <w:szCs w:val="21"/>
              </w:rPr>
            </w:pPr>
          </w:p>
        </w:tc>
        <w:tc>
          <w:tcPr>
            <w:tcW w:w="846" w:type="dxa"/>
            <w:vAlign w:val="center"/>
          </w:tcPr>
          <w:p>
            <w:pPr>
              <w:jc w:val="center"/>
              <w:rPr>
                <w:rFonts w:hint="eastAsia" w:ascii="宋体" w:hAnsi="宋体" w:eastAsia="宋体" w:cs="宋体"/>
                <w:kern w:val="0"/>
                <w:szCs w:val="21"/>
              </w:rPr>
            </w:pPr>
            <w:r>
              <w:rPr>
                <w:rFonts w:ascii="宋体" w:hAnsi="宋体" w:eastAsia="宋体" w:cs="宋体"/>
                <w:kern w:val="0"/>
                <w:szCs w:val="21"/>
              </w:rPr>
              <w:t>12</w:t>
            </w:r>
          </w:p>
        </w:tc>
        <w:tc>
          <w:tcPr>
            <w:tcW w:w="988" w:type="dxa"/>
            <w:vAlign w:val="center"/>
          </w:tcPr>
          <w:p>
            <w:pPr>
              <w:jc w:val="center"/>
              <w:rPr>
                <w:rFonts w:hint="eastAsia" w:ascii="宋体" w:hAnsi="宋体" w:eastAsia="宋体" w:cs="宋体"/>
                <w:kern w:val="0"/>
                <w:szCs w:val="21"/>
              </w:rPr>
            </w:pPr>
            <w:r>
              <w:rPr>
                <w:rFonts w:ascii="宋体" w:hAnsi="宋体" w:eastAsia="宋体" w:cs="宋体"/>
                <w:kern w:val="0"/>
                <w:szCs w:val="21"/>
              </w:rPr>
              <w:t>综合运输标委会</w:t>
            </w:r>
          </w:p>
        </w:tc>
        <w:tc>
          <w:tcPr>
            <w:tcW w:w="2799" w:type="dxa"/>
            <w:vAlign w:val="center"/>
          </w:tcPr>
          <w:p>
            <w:pPr>
              <w:rPr>
                <w:rFonts w:hint="eastAsia" w:ascii="宋体" w:hAnsi="宋体" w:eastAsia="宋体" w:cs="宋体"/>
                <w:kern w:val="0"/>
                <w:szCs w:val="21"/>
              </w:rPr>
            </w:pPr>
            <w:r>
              <w:rPr>
                <w:rFonts w:ascii="宋体" w:hAnsi="宋体" w:eastAsia="宋体" w:cs="宋体"/>
                <w:kern w:val="0"/>
                <w:szCs w:val="21"/>
              </w:rPr>
              <w:t>中国铁路设计集团有限公司、浙江数智交院科技股份有限公司、中交水运规划设计院有限公司、中铁第四勘察设计院集团有限公司、国能运输技术研究院</w:t>
            </w:r>
            <w:r>
              <w:rPr>
                <w:rFonts w:hint="eastAsia" w:ascii="宋体" w:hAnsi="宋体" w:eastAsia="宋体" w:cs="宋体"/>
                <w:kern w:val="0"/>
                <w:szCs w:val="21"/>
              </w:rPr>
              <w:t>有限责任公司</w:t>
            </w:r>
            <w:r>
              <w:rPr>
                <w:rFonts w:ascii="宋体" w:hAnsi="宋体" w:eastAsia="宋体" w:cs="宋体"/>
                <w:kern w:val="0"/>
                <w:szCs w:val="21"/>
              </w:rPr>
              <w:t>、中国铁道科学研究院集团有限公司、北京交通大学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568" w:hRule="atLeast"/>
        </w:trPr>
        <w:tc>
          <w:tcPr>
            <w:tcW w:w="562" w:type="dxa"/>
            <w:vAlign w:val="center"/>
          </w:tcPr>
          <w:p>
            <w:pPr>
              <w:jc w:val="center"/>
              <w:rPr>
                <w:rFonts w:hint="eastAsia" w:ascii="宋体" w:hAnsi="宋体" w:eastAsia="宋体" w:cs="Times New Roman"/>
                <w:bCs/>
                <w:kern w:val="0"/>
                <w:szCs w:val="21"/>
              </w:rPr>
            </w:pPr>
            <w:r>
              <w:rPr>
                <w:rFonts w:hint="eastAsia" w:ascii="宋体" w:hAnsi="宋体" w:eastAsia="宋体" w:cs="Times New Roman"/>
                <w:bCs/>
                <w:kern w:val="0"/>
                <w:szCs w:val="21"/>
              </w:rPr>
              <w:t>6</w:t>
            </w:r>
          </w:p>
        </w:tc>
        <w:tc>
          <w:tcPr>
            <w:tcW w:w="1134" w:type="dxa"/>
            <w:vAlign w:val="center"/>
          </w:tcPr>
          <w:p>
            <w:pPr>
              <w:jc w:val="center"/>
              <w:rPr>
                <w:rFonts w:hint="eastAsia" w:ascii="宋体" w:hAnsi="宋体" w:eastAsia="宋体" w:cs="宋体"/>
                <w:color w:val="000000"/>
                <w:kern w:val="0"/>
                <w:szCs w:val="21"/>
              </w:rPr>
            </w:pPr>
            <w:r>
              <w:rPr>
                <w:rFonts w:hint="eastAsia" w:ascii="宋体" w:hAnsi="宋体" w:eastAsia="宋体"/>
                <w:kern w:val="0"/>
                <w:szCs w:val="21"/>
              </w:rPr>
              <w:t>JT 2024-06</w:t>
            </w:r>
          </w:p>
        </w:tc>
        <w:tc>
          <w:tcPr>
            <w:tcW w:w="1560" w:type="dxa"/>
            <w:vAlign w:val="center"/>
          </w:tcPr>
          <w:p>
            <w:pPr>
              <w:rPr>
                <w:rFonts w:hint="eastAsia" w:ascii="宋体" w:hAnsi="宋体" w:eastAsia="宋体" w:cs="Times New Roman"/>
                <w:kern w:val="0"/>
                <w:szCs w:val="21"/>
              </w:rPr>
            </w:pPr>
            <w:r>
              <w:rPr>
                <w:rFonts w:ascii="宋体" w:hAnsi="宋体" w:eastAsia="宋体" w:cs="Times New Roman"/>
                <w:kern w:val="0"/>
                <w:szCs w:val="21"/>
              </w:rPr>
              <w:t>内河水上服务区服务规范</w:t>
            </w:r>
          </w:p>
        </w:tc>
        <w:tc>
          <w:tcPr>
            <w:tcW w:w="5528" w:type="dxa"/>
            <w:vAlign w:val="center"/>
          </w:tcPr>
          <w:p>
            <w:pPr>
              <w:rPr>
                <w:rFonts w:hint="eastAsia" w:ascii="宋体" w:hAnsi="宋体" w:eastAsia="宋体" w:cs="Times New Roman"/>
                <w:kern w:val="0"/>
                <w:szCs w:val="21"/>
              </w:rPr>
            </w:pPr>
            <w:r>
              <w:rPr>
                <w:rFonts w:ascii="宋体" w:hAnsi="宋体" w:eastAsia="宋体" w:cs="Times New Roman"/>
                <w:kern w:val="0"/>
                <w:szCs w:val="21"/>
              </w:rPr>
              <w:t>拟规定内河水上服务区的管理要求、服务要求、评价与改进等内容。</w:t>
            </w:r>
          </w:p>
          <w:p>
            <w:pPr>
              <w:rPr>
                <w:rFonts w:hint="eastAsia" w:ascii="宋体" w:hAnsi="宋体" w:eastAsia="宋体" w:cs="Times New Roman"/>
                <w:kern w:val="0"/>
                <w:szCs w:val="21"/>
              </w:rPr>
            </w:pPr>
            <w:r>
              <w:rPr>
                <w:rFonts w:ascii="宋体" w:hAnsi="宋体" w:eastAsia="宋体" w:cs="Times New Roman"/>
                <w:kern w:val="0"/>
                <w:szCs w:val="21"/>
              </w:rPr>
              <w:t>适用于内河水上服务区的服务管理。</w:t>
            </w:r>
          </w:p>
        </w:tc>
        <w:tc>
          <w:tcPr>
            <w:tcW w:w="709" w:type="dxa"/>
            <w:vAlign w:val="center"/>
          </w:tcPr>
          <w:p>
            <w:pPr>
              <w:jc w:val="center"/>
              <w:rPr>
                <w:rFonts w:hint="eastAsia" w:ascii="宋体" w:hAnsi="宋体" w:eastAsia="宋体" w:cs="宋体"/>
                <w:kern w:val="0"/>
                <w:szCs w:val="21"/>
              </w:rPr>
            </w:pPr>
            <w:r>
              <w:rPr>
                <w:rFonts w:hint="eastAsia" w:ascii="宋体" w:hAnsi="宋体" w:eastAsia="宋体" w:cs="宋体"/>
                <w:kern w:val="0"/>
                <w:szCs w:val="21"/>
              </w:rPr>
              <w:t>制定</w:t>
            </w:r>
          </w:p>
        </w:tc>
        <w:tc>
          <w:tcPr>
            <w:tcW w:w="1121" w:type="dxa"/>
            <w:vAlign w:val="center"/>
          </w:tcPr>
          <w:p>
            <w:pPr>
              <w:jc w:val="center"/>
              <w:rPr>
                <w:rFonts w:hint="eastAsia" w:ascii="宋体" w:hAnsi="宋体" w:eastAsia="宋体" w:cs="宋体"/>
                <w:kern w:val="0"/>
                <w:szCs w:val="21"/>
              </w:rPr>
            </w:pPr>
          </w:p>
        </w:tc>
        <w:tc>
          <w:tcPr>
            <w:tcW w:w="846" w:type="dxa"/>
            <w:vAlign w:val="center"/>
          </w:tcPr>
          <w:p>
            <w:pPr>
              <w:jc w:val="center"/>
              <w:rPr>
                <w:rFonts w:hint="eastAsia" w:ascii="宋体" w:hAnsi="宋体" w:eastAsia="宋体" w:cs="宋体"/>
                <w:kern w:val="0"/>
                <w:szCs w:val="21"/>
              </w:rPr>
            </w:pPr>
            <w:r>
              <w:rPr>
                <w:rFonts w:ascii="宋体" w:hAnsi="宋体" w:eastAsia="宋体" w:cs="宋体"/>
                <w:kern w:val="0"/>
                <w:szCs w:val="21"/>
              </w:rPr>
              <w:t>12</w:t>
            </w:r>
          </w:p>
        </w:tc>
        <w:tc>
          <w:tcPr>
            <w:tcW w:w="988" w:type="dxa"/>
            <w:vAlign w:val="center"/>
          </w:tcPr>
          <w:p>
            <w:pPr>
              <w:jc w:val="center"/>
              <w:rPr>
                <w:rFonts w:hint="eastAsia" w:ascii="宋体" w:hAnsi="宋体" w:eastAsia="宋体" w:cs="宋体"/>
                <w:kern w:val="0"/>
                <w:szCs w:val="21"/>
              </w:rPr>
            </w:pPr>
            <w:r>
              <w:rPr>
                <w:rFonts w:ascii="宋体" w:hAnsi="宋体" w:eastAsia="宋体" w:cs="宋体"/>
                <w:kern w:val="0"/>
                <w:szCs w:val="21"/>
              </w:rPr>
              <w:t>内河船与水路运输标委会</w:t>
            </w:r>
          </w:p>
        </w:tc>
        <w:tc>
          <w:tcPr>
            <w:tcW w:w="2799" w:type="dxa"/>
            <w:vAlign w:val="center"/>
          </w:tcPr>
          <w:p>
            <w:pPr>
              <w:rPr>
                <w:rFonts w:hint="eastAsia" w:ascii="宋体" w:hAnsi="宋体" w:eastAsia="宋体" w:cs="宋体"/>
                <w:kern w:val="0"/>
                <w:szCs w:val="21"/>
              </w:rPr>
            </w:pPr>
            <w:r>
              <w:rPr>
                <w:rFonts w:ascii="宋体" w:hAnsi="宋体" w:eastAsia="宋体" w:cs="宋体"/>
                <w:kern w:val="0"/>
                <w:szCs w:val="21"/>
              </w:rPr>
              <w:t>交通运输部水运科学研究所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568" w:hRule="atLeast"/>
        </w:trPr>
        <w:tc>
          <w:tcPr>
            <w:tcW w:w="562" w:type="dxa"/>
            <w:vAlign w:val="center"/>
          </w:tcPr>
          <w:p>
            <w:pPr>
              <w:jc w:val="center"/>
              <w:rPr>
                <w:rFonts w:hint="eastAsia" w:ascii="宋体" w:hAnsi="宋体" w:eastAsia="宋体" w:cs="Times New Roman"/>
                <w:bCs/>
                <w:kern w:val="0"/>
                <w:szCs w:val="21"/>
              </w:rPr>
            </w:pPr>
            <w:r>
              <w:rPr>
                <w:rFonts w:hint="eastAsia" w:ascii="宋体" w:hAnsi="宋体" w:eastAsia="宋体" w:cs="Times New Roman"/>
                <w:bCs/>
                <w:kern w:val="0"/>
                <w:szCs w:val="21"/>
              </w:rPr>
              <w:t>7</w:t>
            </w:r>
          </w:p>
        </w:tc>
        <w:tc>
          <w:tcPr>
            <w:tcW w:w="1134" w:type="dxa"/>
            <w:vAlign w:val="center"/>
          </w:tcPr>
          <w:p>
            <w:pPr>
              <w:jc w:val="center"/>
              <w:rPr>
                <w:rFonts w:hint="eastAsia" w:ascii="宋体" w:hAnsi="宋体" w:eastAsia="宋体" w:cs="宋体"/>
                <w:color w:val="000000"/>
                <w:kern w:val="0"/>
                <w:szCs w:val="21"/>
              </w:rPr>
            </w:pPr>
            <w:r>
              <w:rPr>
                <w:rFonts w:hint="eastAsia" w:ascii="宋体" w:hAnsi="宋体" w:eastAsia="宋体"/>
                <w:kern w:val="0"/>
                <w:szCs w:val="21"/>
              </w:rPr>
              <w:t>JT 2024-07</w:t>
            </w:r>
          </w:p>
        </w:tc>
        <w:tc>
          <w:tcPr>
            <w:tcW w:w="1560" w:type="dxa"/>
            <w:vAlign w:val="center"/>
          </w:tcPr>
          <w:p>
            <w:pPr>
              <w:rPr>
                <w:rFonts w:hint="eastAsia" w:ascii="宋体" w:hAnsi="宋体" w:eastAsia="宋体" w:cs="Times New Roman"/>
                <w:kern w:val="0"/>
                <w:szCs w:val="21"/>
              </w:rPr>
            </w:pPr>
            <w:r>
              <w:rPr>
                <w:rFonts w:ascii="宋体" w:hAnsi="宋体" w:eastAsia="宋体" w:cs="Times New Roman"/>
                <w:kern w:val="0"/>
                <w:szCs w:val="21"/>
              </w:rPr>
              <w:t>内河船舶智能导助航数据模型与交换格式</w:t>
            </w:r>
          </w:p>
        </w:tc>
        <w:tc>
          <w:tcPr>
            <w:tcW w:w="5528" w:type="dxa"/>
            <w:vAlign w:val="center"/>
          </w:tcPr>
          <w:p>
            <w:pPr>
              <w:rPr>
                <w:rFonts w:hint="eastAsia" w:ascii="宋体" w:hAnsi="宋体" w:eastAsia="宋体" w:cs="Times New Roman"/>
                <w:kern w:val="0"/>
                <w:szCs w:val="21"/>
              </w:rPr>
            </w:pPr>
            <w:r>
              <w:rPr>
                <w:rFonts w:ascii="宋体" w:hAnsi="宋体" w:eastAsia="宋体" w:cs="Times New Roman"/>
                <w:kern w:val="0"/>
                <w:szCs w:val="21"/>
              </w:rPr>
              <w:t>拟规定内河船舶智能导助航电子航道图的场景分类与定义、数据要求、对象模型、地图引擎和数据接口等要求。</w:t>
            </w:r>
          </w:p>
          <w:p>
            <w:pPr>
              <w:rPr>
                <w:rFonts w:hint="eastAsia" w:ascii="宋体" w:hAnsi="宋体" w:eastAsia="宋体" w:cs="Times New Roman"/>
                <w:kern w:val="0"/>
                <w:szCs w:val="21"/>
              </w:rPr>
            </w:pPr>
            <w:r>
              <w:rPr>
                <w:rFonts w:ascii="宋体" w:hAnsi="宋体" w:eastAsia="宋体" w:cs="Times New Roman"/>
                <w:kern w:val="0"/>
                <w:szCs w:val="21"/>
              </w:rPr>
              <w:t>适用于内河船舶智能导助航电子航道图的研发、制作与数据交换。</w:t>
            </w:r>
          </w:p>
        </w:tc>
        <w:tc>
          <w:tcPr>
            <w:tcW w:w="709" w:type="dxa"/>
            <w:vAlign w:val="center"/>
          </w:tcPr>
          <w:p>
            <w:pPr>
              <w:jc w:val="center"/>
              <w:rPr>
                <w:rFonts w:hint="eastAsia" w:ascii="宋体" w:hAnsi="宋体" w:eastAsia="宋体" w:cs="宋体"/>
                <w:kern w:val="0"/>
                <w:szCs w:val="21"/>
              </w:rPr>
            </w:pPr>
            <w:r>
              <w:rPr>
                <w:rFonts w:hint="eastAsia" w:ascii="宋体" w:hAnsi="宋体" w:eastAsia="宋体" w:cs="宋体"/>
                <w:kern w:val="0"/>
                <w:szCs w:val="21"/>
              </w:rPr>
              <w:t>制定</w:t>
            </w:r>
          </w:p>
        </w:tc>
        <w:tc>
          <w:tcPr>
            <w:tcW w:w="1121" w:type="dxa"/>
            <w:vAlign w:val="center"/>
          </w:tcPr>
          <w:p>
            <w:pPr>
              <w:jc w:val="center"/>
              <w:rPr>
                <w:rFonts w:hint="eastAsia" w:ascii="宋体" w:hAnsi="宋体" w:eastAsia="宋体" w:cs="宋体"/>
                <w:kern w:val="0"/>
                <w:szCs w:val="21"/>
              </w:rPr>
            </w:pPr>
          </w:p>
        </w:tc>
        <w:tc>
          <w:tcPr>
            <w:tcW w:w="846" w:type="dxa"/>
            <w:vAlign w:val="center"/>
          </w:tcPr>
          <w:p>
            <w:pPr>
              <w:jc w:val="center"/>
              <w:rPr>
                <w:rFonts w:hint="eastAsia" w:ascii="宋体" w:hAnsi="宋体" w:eastAsia="宋体" w:cs="宋体"/>
                <w:kern w:val="0"/>
                <w:szCs w:val="21"/>
              </w:rPr>
            </w:pPr>
            <w:r>
              <w:rPr>
                <w:rFonts w:ascii="宋体" w:hAnsi="宋体" w:eastAsia="宋体" w:cs="宋体"/>
                <w:kern w:val="0"/>
                <w:szCs w:val="21"/>
              </w:rPr>
              <w:t>12</w:t>
            </w:r>
          </w:p>
        </w:tc>
        <w:tc>
          <w:tcPr>
            <w:tcW w:w="988" w:type="dxa"/>
            <w:vAlign w:val="center"/>
          </w:tcPr>
          <w:p>
            <w:pPr>
              <w:jc w:val="center"/>
              <w:rPr>
                <w:rFonts w:hint="eastAsia" w:ascii="宋体" w:hAnsi="宋体" w:eastAsia="宋体" w:cs="宋体"/>
                <w:kern w:val="0"/>
                <w:szCs w:val="21"/>
              </w:rPr>
            </w:pPr>
            <w:r>
              <w:rPr>
                <w:rFonts w:ascii="宋体" w:hAnsi="宋体" w:eastAsia="宋体" w:cs="宋体"/>
                <w:kern w:val="0"/>
                <w:szCs w:val="21"/>
              </w:rPr>
              <w:t>内河船与水路运输标委会</w:t>
            </w:r>
          </w:p>
        </w:tc>
        <w:tc>
          <w:tcPr>
            <w:tcW w:w="2799" w:type="dxa"/>
            <w:vAlign w:val="center"/>
          </w:tcPr>
          <w:p>
            <w:pPr>
              <w:rPr>
                <w:rFonts w:hint="eastAsia" w:ascii="宋体" w:hAnsi="宋体" w:eastAsia="宋体" w:cs="宋体"/>
                <w:kern w:val="0"/>
                <w:szCs w:val="21"/>
              </w:rPr>
            </w:pPr>
            <w:r>
              <w:rPr>
                <w:rFonts w:ascii="宋体" w:hAnsi="宋体" w:eastAsia="宋体" w:cs="宋体"/>
                <w:kern w:val="0"/>
                <w:szCs w:val="21"/>
              </w:rPr>
              <w:t>浙江省交通运输科学研究院</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568" w:hRule="atLeast"/>
        </w:trPr>
        <w:tc>
          <w:tcPr>
            <w:tcW w:w="562" w:type="dxa"/>
            <w:vAlign w:val="center"/>
          </w:tcPr>
          <w:p>
            <w:pPr>
              <w:jc w:val="center"/>
              <w:rPr>
                <w:rFonts w:hint="eastAsia" w:ascii="宋体" w:hAnsi="宋体" w:eastAsia="宋体" w:cs="Times New Roman"/>
                <w:bCs/>
                <w:kern w:val="0"/>
                <w:szCs w:val="21"/>
              </w:rPr>
            </w:pPr>
            <w:r>
              <w:rPr>
                <w:rFonts w:hint="eastAsia" w:ascii="宋体" w:hAnsi="宋体" w:eastAsia="宋体" w:cs="Times New Roman"/>
                <w:bCs/>
                <w:kern w:val="0"/>
                <w:szCs w:val="21"/>
              </w:rPr>
              <w:t>8</w:t>
            </w:r>
          </w:p>
        </w:tc>
        <w:tc>
          <w:tcPr>
            <w:tcW w:w="1134" w:type="dxa"/>
            <w:vAlign w:val="center"/>
          </w:tcPr>
          <w:p>
            <w:pPr>
              <w:jc w:val="center"/>
              <w:rPr>
                <w:rFonts w:hint="eastAsia" w:ascii="宋体" w:hAnsi="宋体" w:eastAsia="宋体" w:cs="宋体"/>
                <w:color w:val="000000"/>
                <w:kern w:val="0"/>
                <w:szCs w:val="21"/>
              </w:rPr>
            </w:pPr>
            <w:r>
              <w:rPr>
                <w:rFonts w:hint="eastAsia" w:ascii="宋体" w:hAnsi="宋体" w:eastAsia="宋体"/>
                <w:kern w:val="0"/>
                <w:szCs w:val="21"/>
              </w:rPr>
              <w:t>JT 2024-08</w:t>
            </w:r>
          </w:p>
        </w:tc>
        <w:tc>
          <w:tcPr>
            <w:tcW w:w="1560" w:type="dxa"/>
            <w:vAlign w:val="center"/>
          </w:tcPr>
          <w:p>
            <w:pPr>
              <w:rPr>
                <w:rFonts w:hint="eastAsia" w:ascii="宋体" w:hAnsi="宋体" w:eastAsia="宋体" w:cs="Times New Roman"/>
                <w:kern w:val="0"/>
                <w:szCs w:val="21"/>
              </w:rPr>
            </w:pPr>
            <w:r>
              <w:rPr>
                <w:rFonts w:ascii="宋体" w:hAnsi="宋体" w:eastAsia="宋体" w:cs="Times New Roman"/>
                <w:kern w:val="0"/>
                <w:szCs w:val="21"/>
              </w:rPr>
              <w:t>内河船用内燃机涡轮增压器修理技术要求</w:t>
            </w:r>
          </w:p>
        </w:tc>
        <w:tc>
          <w:tcPr>
            <w:tcW w:w="5528" w:type="dxa"/>
            <w:vAlign w:val="center"/>
          </w:tcPr>
          <w:p>
            <w:pPr>
              <w:widowControl/>
              <w:rPr>
                <w:rFonts w:hint="eastAsia" w:ascii="宋体" w:hAnsi="宋体" w:eastAsia="宋体" w:cs="Times New Roman"/>
                <w:kern w:val="0"/>
                <w:szCs w:val="21"/>
              </w:rPr>
            </w:pPr>
            <w:r>
              <w:rPr>
                <w:rFonts w:ascii="宋体" w:hAnsi="宋体" w:eastAsia="宋体" w:cs="Times New Roman"/>
                <w:kern w:val="0"/>
                <w:szCs w:val="21"/>
              </w:rPr>
              <w:t>现行标准规定了</w:t>
            </w:r>
            <w:r>
              <w:rPr>
                <w:rFonts w:hint="eastAsia" w:ascii="宋体" w:hAnsi="宋体" w:eastAsia="宋体" w:cs="Times New Roman"/>
                <w:kern w:val="0"/>
                <w:szCs w:val="21"/>
              </w:rPr>
              <w:t>船用柴油机</w:t>
            </w:r>
            <w:r>
              <w:rPr>
                <w:rFonts w:ascii="宋体" w:hAnsi="宋体" w:eastAsia="宋体" w:cs="Times New Roman"/>
                <w:kern w:val="0"/>
                <w:szCs w:val="21"/>
              </w:rPr>
              <w:t>涡轮增压器</w:t>
            </w:r>
            <w:r>
              <w:rPr>
                <w:rFonts w:hint="eastAsia" w:ascii="宋体" w:hAnsi="宋体" w:eastAsia="宋体" w:cs="Times New Roman"/>
                <w:kern w:val="0"/>
                <w:szCs w:val="21"/>
              </w:rPr>
              <w:t>修理总则、零部件</w:t>
            </w:r>
            <w:r>
              <w:rPr>
                <w:rFonts w:ascii="宋体" w:hAnsi="宋体" w:eastAsia="宋体" w:cs="Times New Roman"/>
                <w:kern w:val="0"/>
                <w:szCs w:val="21"/>
              </w:rPr>
              <w:t>修理技术要求和增压器修复后的试验</w:t>
            </w:r>
            <w:r>
              <w:rPr>
                <w:rFonts w:hint="eastAsia" w:ascii="宋体" w:hAnsi="宋体" w:eastAsia="宋体" w:cs="Times New Roman"/>
                <w:kern w:val="0"/>
                <w:szCs w:val="21"/>
              </w:rPr>
              <w:t>及其他技术要求。</w:t>
            </w:r>
          </w:p>
          <w:p>
            <w:pPr>
              <w:widowControl/>
              <w:rPr>
                <w:rFonts w:hint="eastAsia" w:ascii="宋体" w:hAnsi="宋体" w:eastAsia="宋体" w:cs="Times New Roman"/>
                <w:kern w:val="0"/>
                <w:szCs w:val="21"/>
              </w:rPr>
            </w:pPr>
            <w:r>
              <w:rPr>
                <w:rFonts w:ascii="宋体" w:hAnsi="宋体" w:eastAsia="宋体" w:cs="Times New Roman"/>
                <w:kern w:val="0"/>
                <w:szCs w:val="21"/>
              </w:rPr>
              <w:t>适用于</w:t>
            </w:r>
            <w:r>
              <w:rPr>
                <w:rFonts w:hint="eastAsia" w:ascii="宋体" w:hAnsi="宋体" w:eastAsia="宋体" w:cs="Times New Roman"/>
                <w:kern w:val="0"/>
                <w:szCs w:val="21"/>
              </w:rPr>
              <w:t>民用</w:t>
            </w:r>
            <w:r>
              <w:rPr>
                <w:rFonts w:ascii="宋体" w:hAnsi="宋体" w:eastAsia="宋体" w:cs="Times New Roman"/>
                <w:kern w:val="0"/>
                <w:szCs w:val="21"/>
              </w:rPr>
              <w:t>船舶轴流式和径流式涡轮增压器的修理。</w:t>
            </w:r>
          </w:p>
          <w:p>
            <w:pPr>
              <w:widowControl/>
              <w:rPr>
                <w:rFonts w:hint="eastAsia" w:ascii="宋体" w:hAnsi="宋体" w:eastAsia="宋体" w:cs="Times New Roman"/>
                <w:kern w:val="0"/>
                <w:szCs w:val="21"/>
              </w:rPr>
            </w:pPr>
            <w:r>
              <w:rPr>
                <w:rFonts w:ascii="宋体" w:hAnsi="宋体" w:eastAsia="宋体" w:cs="Times New Roman"/>
                <w:kern w:val="0"/>
                <w:szCs w:val="21"/>
              </w:rPr>
              <w:t>主要修订内容：1.</w:t>
            </w:r>
            <w:r>
              <w:rPr>
                <w:rFonts w:hint="eastAsia" w:ascii="宋体" w:hAnsi="宋体" w:eastAsia="宋体" w:cs="Times New Roman"/>
                <w:kern w:val="0"/>
                <w:szCs w:val="21"/>
              </w:rPr>
              <w:t>更改标准名称及标准的适用范围</w:t>
            </w:r>
            <w:r>
              <w:rPr>
                <w:rFonts w:ascii="宋体" w:hAnsi="宋体" w:eastAsia="宋体" w:cs="Times New Roman"/>
                <w:kern w:val="0"/>
                <w:szCs w:val="21"/>
              </w:rPr>
              <w:t>；2.增加压气机叶轮和导风轮X值检查、导风轮检查、压气机叶轮硬度检查；3.更改喷嘴环叶片变形的整形要求，增加焊接式叶片；4.更改喷嘴环裂纹问题的总的定义、评估、修复等规范；5.增加轴承表面的划痕判定，增加对轴承通用的非正常情况的磨损定义；6.更改增压器修复后的试验要求。</w:t>
            </w:r>
          </w:p>
        </w:tc>
        <w:tc>
          <w:tcPr>
            <w:tcW w:w="709" w:type="dxa"/>
            <w:vAlign w:val="center"/>
          </w:tcPr>
          <w:p>
            <w:pPr>
              <w:jc w:val="center"/>
              <w:rPr>
                <w:rFonts w:hint="eastAsia" w:ascii="宋体" w:hAnsi="宋体" w:eastAsia="宋体" w:cs="宋体"/>
                <w:kern w:val="0"/>
                <w:szCs w:val="21"/>
              </w:rPr>
            </w:pPr>
            <w:r>
              <w:rPr>
                <w:rFonts w:hint="eastAsia" w:ascii="宋体" w:hAnsi="宋体" w:eastAsia="宋体" w:cs="宋体"/>
                <w:kern w:val="0"/>
                <w:szCs w:val="21"/>
              </w:rPr>
              <w:t>修订</w:t>
            </w:r>
          </w:p>
        </w:tc>
        <w:tc>
          <w:tcPr>
            <w:tcW w:w="1121" w:type="dxa"/>
            <w:vAlign w:val="center"/>
          </w:tcPr>
          <w:p>
            <w:pPr>
              <w:jc w:val="center"/>
              <w:rPr>
                <w:rFonts w:hint="eastAsia" w:ascii="宋体" w:hAnsi="宋体" w:eastAsia="宋体" w:cs="宋体"/>
                <w:kern w:val="0"/>
                <w:szCs w:val="21"/>
              </w:rPr>
            </w:pPr>
            <w:r>
              <w:rPr>
                <w:rFonts w:ascii="宋体" w:hAnsi="宋体" w:eastAsia="宋体" w:cs="宋体"/>
                <w:kern w:val="0"/>
                <w:szCs w:val="21"/>
              </w:rPr>
              <w:t>JT/T 283</w:t>
            </w:r>
            <w:r>
              <w:rPr>
                <w:rFonts w:hint="eastAsia" w:ascii="宋体" w:hAnsi="宋体" w:eastAsia="宋体" w:cs="宋体"/>
                <w:kern w:val="0"/>
                <w:szCs w:val="21"/>
              </w:rPr>
              <w:t>—</w:t>
            </w:r>
            <w:r>
              <w:rPr>
                <w:rFonts w:ascii="宋体" w:hAnsi="宋体" w:eastAsia="宋体" w:cs="宋体"/>
                <w:kern w:val="0"/>
                <w:szCs w:val="21"/>
              </w:rPr>
              <w:t>1995</w:t>
            </w:r>
          </w:p>
        </w:tc>
        <w:tc>
          <w:tcPr>
            <w:tcW w:w="846" w:type="dxa"/>
            <w:vAlign w:val="center"/>
          </w:tcPr>
          <w:p>
            <w:pPr>
              <w:jc w:val="center"/>
              <w:rPr>
                <w:rFonts w:hint="eastAsia" w:ascii="宋体" w:hAnsi="宋体" w:eastAsia="宋体" w:cs="宋体"/>
                <w:kern w:val="0"/>
                <w:szCs w:val="21"/>
              </w:rPr>
            </w:pPr>
            <w:r>
              <w:rPr>
                <w:rFonts w:ascii="宋体" w:hAnsi="宋体" w:eastAsia="宋体" w:cs="宋体"/>
                <w:kern w:val="0"/>
                <w:szCs w:val="21"/>
              </w:rPr>
              <w:t>12</w:t>
            </w:r>
          </w:p>
        </w:tc>
        <w:tc>
          <w:tcPr>
            <w:tcW w:w="988" w:type="dxa"/>
            <w:vAlign w:val="center"/>
          </w:tcPr>
          <w:p>
            <w:pPr>
              <w:jc w:val="center"/>
              <w:rPr>
                <w:rFonts w:hint="eastAsia" w:ascii="宋体" w:hAnsi="宋体" w:eastAsia="宋体" w:cs="宋体"/>
                <w:kern w:val="0"/>
                <w:szCs w:val="21"/>
              </w:rPr>
            </w:pPr>
            <w:r>
              <w:rPr>
                <w:rFonts w:ascii="宋体" w:hAnsi="宋体" w:eastAsia="宋体" w:cs="宋体"/>
                <w:kern w:val="0"/>
                <w:szCs w:val="21"/>
              </w:rPr>
              <w:t>内河船与水路运输标委会</w:t>
            </w:r>
          </w:p>
        </w:tc>
        <w:tc>
          <w:tcPr>
            <w:tcW w:w="2799" w:type="dxa"/>
            <w:vAlign w:val="center"/>
          </w:tcPr>
          <w:p>
            <w:pPr>
              <w:rPr>
                <w:rFonts w:hint="eastAsia" w:ascii="宋体" w:hAnsi="宋体" w:eastAsia="宋体" w:cs="宋体"/>
                <w:kern w:val="0"/>
                <w:szCs w:val="21"/>
              </w:rPr>
            </w:pPr>
            <w:r>
              <w:rPr>
                <w:rFonts w:ascii="宋体" w:hAnsi="宋体" w:eastAsia="宋体" w:cs="宋体"/>
                <w:kern w:val="0"/>
                <w:szCs w:val="21"/>
              </w:rPr>
              <w:t>奥赛能涡轮增压系统（重庆）有限公司</w:t>
            </w:r>
            <w:r>
              <w:rPr>
                <w:rFonts w:hint="eastAsia" w:ascii="宋体" w:hAnsi="宋体" w:eastAsia="宋体" w:cs="宋体"/>
                <w:kern w:val="0"/>
                <w:szCs w:val="21"/>
              </w:rPr>
              <w:t>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568" w:hRule="atLeast"/>
        </w:trPr>
        <w:tc>
          <w:tcPr>
            <w:tcW w:w="562" w:type="dxa"/>
            <w:vAlign w:val="center"/>
          </w:tcPr>
          <w:p>
            <w:pPr>
              <w:jc w:val="center"/>
              <w:rPr>
                <w:rFonts w:hint="eastAsia" w:ascii="宋体" w:hAnsi="宋体" w:eastAsia="宋体" w:cs="Times New Roman"/>
                <w:bCs/>
                <w:kern w:val="0"/>
                <w:szCs w:val="21"/>
              </w:rPr>
            </w:pPr>
            <w:r>
              <w:rPr>
                <w:rFonts w:hint="eastAsia" w:ascii="宋体" w:hAnsi="宋体" w:eastAsia="宋体" w:cs="Times New Roman"/>
                <w:bCs/>
                <w:kern w:val="0"/>
                <w:szCs w:val="21"/>
              </w:rPr>
              <w:t>9</w:t>
            </w:r>
          </w:p>
        </w:tc>
        <w:tc>
          <w:tcPr>
            <w:tcW w:w="1134" w:type="dxa"/>
            <w:vAlign w:val="center"/>
          </w:tcPr>
          <w:p>
            <w:pPr>
              <w:jc w:val="center"/>
              <w:rPr>
                <w:rFonts w:hint="eastAsia" w:ascii="宋体" w:hAnsi="宋体" w:eastAsia="宋体" w:cs="宋体"/>
                <w:color w:val="000000"/>
                <w:kern w:val="0"/>
                <w:szCs w:val="21"/>
              </w:rPr>
            </w:pPr>
            <w:r>
              <w:rPr>
                <w:rFonts w:hint="eastAsia" w:ascii="宋体" w:hAnsi="宋体" w:eastAsia="宋体"/>
                <w:kern w:val="0"/>
                <w:szCs w:val="21"/>
              </w:rPr>
              <w:t>JT 2024-09</w:t>
            </w:r>
          </w:p>
        </w:tc>
        <w:tc>
          <w:tcPr>
            <w:tcW w:w="1560" w:type="dxa"/>
            <w:vAlign w:val="center"/>
          </w:tcPr>
          <w:p>
            <w:pPr>
              <w:rPr>
                <w:rFonts w:hint="eastAsia" w:ascii="宋体" w:hAnsi="宋体" w:eastAsia="宋体" w:cs="Times New Roman"/>
                <w:kern w:val="0"/>
                <w:szCs w:val="21"/>
              </w:rPr>
            </w:pPr>
            <w:r>
              <w:rPr>
                <w:rFonts w:ascii="宋体" w:hAnsi="宋体" w:eastAsia="宋体" w:cs="Times New Roman"/>
                <w:kern w:val="0"/>
                <w:szCs w:val="21"/>
              </w:rPr>
              <w:t>内河船舶航行资料配备要求</w:t>
            </w:r>
          </w:p>
        </w:tc>
        <w:tc>
          <w:tcPr>
            <w:tcW w:w="5528" w:type="dxa"/>
            <w:vAlign w:val="center"/>
          </w:tcPr>
          <w:p>
            <w:pPr>
              <w:widowControl/>
              <w:rPr>
                <w:rFonts w:hint="eastAsia" w:ascii="宋体" w:hAnsi="宋体" w:eastAsia="宋体" w:cs="Times New Roman"/>
                <w:kern w:val="0"/>
                <w:szCs w:val="21"/>
              </w:rPr>
            </w:pPr>
            <w:r>
              <w:rPr>
                <w:rFonts w:ascii="宋体" w:hAnsi="宋体" w:eastAsia="宋体" w:cs="Times New Roman"/>
                <w:kern w:val="0"/>
                <w:szCs w:val="21"/>
              </w:rPr>
              <w:t>现行标准规定了内河</w:t>
            </w:r>
            <w:r>
              <w:rPr>
                <w:rFonts w:hint="eastAsia" w:ascii="宋体" w:hAnsi="宋体" w:eastAsia="宋体" w:cs="Times New Roman"/>
                <w:kern w:val="0"/>
                <w:szCs w:val="21"/>
              </w:rPr>
              <w:t>自航</w:t>
            </w:r>
            <w:r>
              <w:rPr>
                <w:rFonts w:ascii="宋体" w:hAnsi="宋体" w:eastAsia="宋体" w:cs="Times New Roman"/>
                <w:kern w:val="0"/>
                <w:szCs w:val="21"/>
              </w:rPr>
              <w:t>船舶航行时</w:t>
            </w:r>
            <w:r>
              <w:rPr>
                <w:rFonts w:hint="eastAsia" w:ascii="宋体" w:hAnsi="宋体" w:eastAsia="宋体" w:cs="Times New Roman"/>
                <w:kern w:val="0"/>
                <w:szCs w:val="21"/>
              </w:rPr>
              <w:t>，</w:t>
            </w:r>
            <w:r>
              <w:rPr>
                <w:rFonts w:ascii="宋体" w:hAnsi="宋体" w:eastAsia="宋体" w:cs="Times New Roman"/>
                <w:kern w:val="0"/>
                <w:szCs w:val="21"/>
              </w:rPr>
              <w:t>应配备的最基本的航行资料</w:t>
            </w:r>
            <w:r>
              <w:rPr>
                <w:rFonts w:hint="eastAsia" w:ascii="宋体" w:hAnsi="宋体" w:eastAsia="宋体" w:cs="Times New Roman"/>
                <w:kern w:val="0"/>
                <w:szCs w:val="21"/>
              </w:rPr>
              <w:t>。</w:t>
            </w:r>
          </w:p>
          <w:p>
            <w:pPr>
              <w:widowControl/>
              <w:rPr>
                <w:rFonts w:hint="eastAsia" w:ascii="宋体" w:hAnsi="宋体" w:eastAsia="宋体" w:cs="Times New Roman"/>
                <w:kern w:val="0"/>
                <w:szCs w:val="21"/>
              </w:rPr>
            </w:pPr>
            <w:r>
              <w:rPr>
                <w:rFonts w:ascii="宋体" w:hAnsi="宋体" w:eastAsia="宋体" w:cs="Times New Roman"/>
                <w:kern w:val="0"/>
                <w:szCs w:val="21"/>
              </w:rPr>
              <w:t>适用于航行在我国境内江、河、湖泊、水库的200总吨及以上或主推动力装置功率147kW及以上的中国籍船舶</w:t>
            </w:r>
            <w:r>
              <w:rPr>
                <w:rFonts w:hint="eastAsia" w:ascii="宋体" w:hAnsi="宋体" w:eastAsia="宋体" w:cs="Times New Roman"/>
                <w:kern w:val="0"/>
                <w:szCs w:val="21"/>
              </w:rPr>
              <w:t>，</w:t>
            </w:r>
            <w:r>
              <w:rPr>
                <w:rFonts w:ascii="宋体" w:hAnsi="宋体" w:eastAsia="宋体" w:cs="Times New Roman"/>
                <w:kern w:val="0"/>
                <w:szCs w:val="21"/>
              </w:rPr>
              <w:t>包括由江入海的江海直达船。对江渡船及其它船舶可参照执行</w:t>
            </w:r>
            <w:r>
              <w:rPr>
                <w:rFonts w:hint="eastAsia" w:ascii="宋体" w:hAnsi="宋体" w:eastAsia="宋体" w:cs="Times New Roman"/>
                <w:kern w:val="0"/>
                <w:szCs w:val="21"/>
              </w:rPr>
              <w:t>。</w:t>
            </w:r>
          </w:p>
          <w:p>
            <w:pPr>
              <w:widowControl/>
              <w:rPr>
                <w:rFonts w:hint="eastAsia" w:ascii="宋体" w:hAnsi="宋体" w:eastAsia="宋体" w:cs="Times New Roman"/>
                <w:kern w:val="0"/>
                <w:szCs w:val="21"/>
              </w:rPr>
            </w:pPr>
            <w:r>
              <w:rPr>
                <w:rFonts w:ascii="宋体" w:hAnsi="宋体" w:eastAsia="宋体" w:cs="Times New Roman"/>
                <w:kern w:val="0"/>
                <w:szCs w:val="21"/>
              </w:rPr>
              <w:t>不适用于因抢险救灾或执行军事等特殊任务而需紧急开航的船舶。</w:t>
            </w:r>
          </w:p>
          <w:p>
            <w:pPr>
              <w:widowControl/>
              <w:rPr>
                <w:rFonts w:hint="eastAsia" w:ascii="宋体" w:hAnsi="宋体" w:eastAsia="宋体" w:cs="Times New Roman"/>
                <w:kern w:val="0"/>
                <w:szCs w:val="21"/>
              </w:rPr>
            </w:pPr>
            <w:r>
              <w:rPr>
                <w:rFonts w:ascii="宋体" w:hAnsi="宋体" w:eastAsia="宋体" w:cs="Times New Roman"/>
                <w:kern w:val="0"/>
                <w:szCs w:val="21"/>
              </w:rPr>
              <w:t>主要修订内容：1.增加航行图集、船舶定线制、船舶破损控制图；2.增加航行于长江A,B,C级航区的船舶配备分道通航图；3.增加内河船舶法定检验技术规则；4.增加“VTS用户指南”。</w:t>
            </w:r>
          </w:p>
        </w:tc>
        <w:tc>
          <w:tcPr>
            <w:tcW w:w="709" w:type="dxa"/>
            <w:vAlign w:val="center"/>
          </w:tcPr>
          <w:p>
            <w:pPr>
              <w:jc w:val="center"/>
              <w:rPr>
                <w:rFonts w:hint="eastAsia" w:ascii="宋体" w:hAnsi="宋体" w:eastAsia="宋体" w:cs="宋体"/>
                <w:kern w:val="0"/>
                <w:szCs w:val="21"/>
              </w:rPr>
            </w:pPr>
            <w:r>
              <w:rPr>
                <w:rFonts w:ascii="宋体" w:hAnsi="宋体" w:eastAsia="宋体" w:cs="宋体"/>
                <w:kern w:val="0"/>
                <w:szCs w:val="21"/>
              </w:rPr>
              <w:t>修订</w:t>
            </w:r>
          </w:p>
        </w:tc>
        <w:tc>
          <w:tcPr>
            <w:tcW w:w="1121" w:type="dxa"/>
            <w:vAlign w:val="center"/>
          </w:tcPr>
          <w:p>
            <w:pPr>
              <w:jc w:val="center"/>
              <w:rPr>
                <w:rFonts w:hint="eastAsia" w:ascii="宋体" w:hAnsi="宋体" w:eastAsia="宋体" w:cs="宋体"/>
                <w:kern w:val="0"/>
                <w:szCs w:val="21"/>
              </w:rPr>
            </w:pPr>
            <w:r>
              <w:rPr>
                <w:rFonts w:ascii="宋体" w:hAnsi="宋体" w:eastAsia="宋体" w:cs="宋体"/>
                <w:kern w:val="0"/>
                <w:szCs w:val="21"/>
              </w:rPr>
              <w:t>JT/T 419</w:t>
            </w:r>
            <w:r>
              <w:rPr>
                <w:rFonts w:hint="eastAsia" w:ascii="宋体" w:hAnsi="宋体" w:eastAsia="宋体" w:cs="宋体"/>
                <w:kern w:val="0"/>
                <w:szCs w:val="21"/>
              </w:rPr>
              <w:t>—</w:t>
            </w:r>
            <w:r>
              <w:rPr>
                <w:rFonts w:ascii="宋体" w:hAnsi="宋体" w:eastAsia="宋体" w:cs="宋体"/>
                <w:kern w:val="0"/>
                <w:szCs w:val="21"/>
              </w:rPr>
              <w:t>2000</w:t>
            </w:r>
          </w:p>
        </w:tc>
        <w:tc>
          <w:tcPr>
            <w:tcW w:w="846" w:type="dxa"/>
            <w:vAlign w:val="center"/>
          </w:tcPr>
          <w:p>
            <w:pPr>
              <w:jc w:val="center"/>
              <w:rPr>
                <w:rFonts w:hint="eastAsia" w:ascii="宋体" w:hAnsi="宋体" w:eastAsia="宋体" w:cs="宋体"/>
                <w:kern w:val="0"/>
                <w:szCs w:val="21"/>
              </w:rPr>
            </w:pPr>
            <w:r>
              <w:rPr>
                <w:rFonts w:ascii="宋体" w:hAnsi="宋体" w:eastAsia="宋体" w:cs="宋体"/>
                <w:kern w:val="0"/>
                <w:szCs w:val="21"/>
              </w:rPr>
              <w:t>12</w:t>
            </w:r>
          </w:p>
        </w:tc>
        <w:tc>
          <w:tcPr>
            <w:tcW w:w="988" w:type="dxa"/>
            <w:vAlign w:val="center"/>
          </w:tcPr>
          <w:p>
            <w:pPr>
              <w:jc w:val="center"/>
              <w:rPr>
                <w:rFonts w:hint="eastAsia" w:ascii="宋体" w:hAnsi="宋体" w:eastAsia="宋体" w:cs="宋体"/>
                <w:kern w:val="0"/>
                <w:szCs w:val="21"/>
              </w:rPr>
            </w:pPr>
            <w:r>
              <w:rPr>
                <w:rFonts w:ascii="宋体" w:hAnsi="宋体" w:eastAsia="宋体" w:cs="宋体"/>
                <w:kern w:val="0"/>
                <w:szCs w:val="21"/>
              </w:rPr>
              <w:t>内河船与水路运输标委会</w:t>
            </w:r>
          </w:p>
        </w:tc>
        <w:tc>
          <w:tcPr>
            <w:tcW w:w="2799" w:type="dxa"/>
            <w:vAlign w:val="center"/>
          </w:tcPr>
          <w:p>
            <w:pPr>
              <w:rPr>
                <w:rFonts w:hint="eastAsia" w:ascii="宋体" w:hAnsi="宋体" w:eastAsia="宋体" w:cs="宋体"/>
                <w:kern w:val="0"/>
                <w:szCs w:val="21"/>
              </w:rPr>
            </w:pPr>
            <w:r>
              <w:rPr>
                <w:rFonts w:ascii="宋体" w:hAnsi="宋体" w:eastAsia="宋体" w:cs="宋体"/>
                <w:kern w:val="0"/>
                <w:szCs w:val="21"/>
              </w:rPr>
              <w:t>武汉理工大学、科瑞威标准技术服务（上海）有限公司</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568" w:hRule="atLeast"/>
        </w:trPr>
        <w:tc>
          <w:tcPr>
            <w:tcW w:w="562" w:type="dxa"/>
            <w:vAlign w:val="center"/>
          </w:tcPr>
          <w:p>
            <w:pPr>
              <w:jc w:val="center"/>
              <w:rPr>
                <w:rFonts w:hint="eastAsia" w:ascii="宋体" w:hAnsi="宋体" w:eastAsia="宋体" w:cs="Times New Roman"/>
                <w:bCs/>
                <w:kern w:val="0"/>
                <w:szCs w:val="21"/>
              </w:rPr>
            </w:pPr>
            <w:r>
              <w:rPr>
                <w:rFonts w:hint="eastAsia" w:ascii="宋体" w:hAnsi="宋体" w:eastAsia="宋体" w:cs="Times New Roman"/>
                <w:bCs/>
                <w:kern w:val="0"/>
                <w:szCs w:val="21"/>
              </w:rPr>
              <w:t>10</w:t>
            </w:r>
          </w:p>
        </w:tc>
        <w:tc>
          <w:tcPr>
            <w:tcW w:w="1134" w:type="dxa"/>
            <w:vAlign w:val="center"/>
          </w:tcPr>
          <w:p>
            <w:pPr>
              <w:jc w:val="center"/>
              <w:rPr>
                <w:rFonts w:hint="eastAsia" w:ascii="宋体" w:hAnsi="宋体" w:eastAsia="宋体" w:cs="宋体"/>
                <w:color w:val="000000"/>
                <w:kern w:val="0"/>
                <w:szCs w:val="21"/>
              </w:rPr>
            </w:pPr>
            <w:r>
              <w:rPr>
                <w:rFonts w:hint="eastAsia" w:ascii="宋体" w:hAnsi="宋体" w:eastAsia="宋体"/>
                <w:kern w:val="0"/>
                <w:szCs w:val="21"/>
              </w:rPr>
              <w:t>JT 2024-10</w:t>
            </w:r>
          </w:p>
        </w:tc>
        <w:tc>
          <w:tcPr>
            <w:tcW w:w="1560" w:type="dxa"/>
            <w:vAlign w:val="center"/>
          </w:tcPr>
          <w:p>
            <w:pPr>
              <w:rPr>
                <w:rFonts w:hint="eastAsia" w:ascii="宋体" w:hAnsi="宋体" w:eastAsia="宋体" w:cs="Times New Roman"/>
                <w:kern w:val="0"/>
                <w:szCs w:val="21"/>
              </w:rPr>
            </w:pPr>
            <w:r>
              <w:rPr>
                <w:rFonts w:ascii="宋体" w:hAnsi="宋体" w:eastAsia="宋体" w:cs="Times New Roman"/>
                <w:kern w:val="0"/>
                <w:szCs w:val="21"/>
              </w:rPr>
              <w:t>内河船舶柴电混合推进系统电动遥控装置技术要求</w:t>
            </w:r>
          </w:p>
        </w:tc>
        <w:tc>
          <w:tcPr>
            <w:tcW w:w="5528" w:type="dxa"/>
            <w:vAlign w:val="center"/>
          </w:tcPr>
          <w:p>
            <w:pPr>
              <w:widowControl/>
              <w:rPr>
                <w:rFonts w:hint="eastAsia" w:ascii="宋体" w:hAnsi="宋体" w:eastAsia="宋体" w:cs="Times New Roman"/>
                <w:kern w:val="0"/>
                <w:szCs w:val="21"/>
              </w:rPr>
            </w:pPr>
            <w:r>
              <w:rPr>
                <w:rFonts w:ascii="宋体" w:hAnsi="宋体" w:eastAsia="宋体" w:cs="Times New Roman"/>
                <w:kern w:val="0"/>
                <w:szCs w:val="21"/>
              </w:rPr>
              <w:t>现行标准</w:t>
            </w:r>
            <w:r>
              <w:rPr>
                <w:rFonts w:hint="eastAsia" w:ascii="宋体" w:hAnsi="宋体" w:eastAsia="宋体" w:cs="Times New Roman"/>
                <w:kern w:val="0"/>
                <w:szCs w:val="21"/>
              </w:rPr>
              <w:t>规定了内河船舶柴油机主推进装置电动遥控系统的环境条件、基本功能和技术性能要求。</w:t>
            </w:r>
          </w:p>
          <w:p>
            <w:pPr>
              <w:widowControl/>
              <w:rPr>
                <w:rFonts w:hint="eastAsia" w:ascii="宋体" w:hAnsi="宋体" w:eastAsia="宋体" w:cs="Times New Roman"/>
                <w:kern w:val="0"/>
                <w:szCs w:val="21"/>
              </w:rPr>
            </w:pPr>
            <w:r>
              <w:rPr>
                <w:rFonts w:hint="eastAsia" w:ascii="宋体" w:hAnsi="宋体" w:eastAsia="宋体" w:cs="Times New Roman"/>
                <w:kern w:val="0"/>
                <w:szCs w:val="21"/>
              </w:rPr>
              <w:t>适用于电动遥控系统的设计、制造与验收。</w:t>
            </w:r>
          </w:p>
          <w:p>
            <w:pPr>
              <w:widowControl/>
              <w:rPr>
                <w:rFonts w:hint="eastAsia" w:ascii="宋体" w:hAnsi="宋体" w:eastAsia="宋体" w:cs="Times New Roman"/>
                <w:kern w:val="0"/>
                <w:szCs w:val="21"/>
              </w:rPr>
            </w:pPr>
            <w:r>
              <w:rPr>
                <w:rFonts w:ascii="宋体" w:hAnsi="宋体" w:eastAsia="宋体" w:cs="Times New Roman"/>
                <w:kern w:val="0"/>
                <w:szCs w:val="21"/>
              </w:rPr>
              <w:t>主要修订内容：1.</w:t>
            </w:r>
            <w:r>
              <w:rPr>
                <w:rFonts w:hint="eastAsia" w:ascii="宋体" w:hAnsi="宋体" w:eastAsia="宋体" w:cs="Times New Roman"/>
                <w:kern w:val="0"/>
                <w:szCs w:val="21"/>
              </w:rPr>
              <w:t>更改标准名称及标准的适用范围</w:t>
            </w:r>
            <w:r>
              <w:rPr>
                <w:rFonts w:ascii="宋体" w:hAnsi="宋体" w:eastAsia="宋体" w:cs="Times New Roman"/>
                <w:kern w:val="0"/>
                <w:szCs w:val="21"/>
              </w:rPr>
              <w:t>；2.</w:t>
            </w:r>
            <w:r>
              <w:rPr>
                <w:rFonts w:hint="eastAsia" w:ascii="宋体" w:hAnsi="宋体" w:eastAsia="宋体" w:cs="Times New Roman"/>
                <w:kern w:val="0"/>
                <w:szCs w:val="21"/>
              </w:rPr>
              <w:t>更改</w:t>
            </w:r>
            <w:r>
              <w:rPr>
                <w:rFonts w:ascii="宋体" w:hAnsi="宋体" w:eastAsia="宋体" w:cs="Times New Roman"/>
                <w:kern w:val="0"/>
                <w:szCs w:val="21"/>
              </w:rPr>
              <w:t>温度、湿度、倾斜与摇摆、盐雾、霉菌等环境方面的要求；3.增加供电电源种类、电压波动与频率、谐波大小等方面的要求增加对柴油发电机的相关要求；4.增加对柴油发电机的相关要求</w:t>
            </w:r>
            <w:r>
              <w:rPr>
                <w:rFonts w:hint="eastAsia" w:ascii="宋体" w:hAnsi="宋体" w:eastAsia="宋体" w:cs="Times New Roman"/>
                <w:kern w:val="0"/>
                <w:szCs w:val="21"/>
              </w:rPr>
              <w:t>。</w:t>
            </w:r>
          </w:p>
        </w:tc>
        <w:tc>
          <w:tcPr>
            <w:tcW w:w="709" w:type="dxa"/>
            <w:vAlign w:val="center"/>
          </w:tcPr>
          <w:p>
            <w:pPr>
              <w:jc w:val="center"/>
              <w:rPr>
                <w:rFonts w:hint="eastAsia" w:ascii="宋体" w:hAnsi="宋体" w:eastAsia="宋体" w:cs="宋体"/>
                <w:kern w:val="0"/>
                <w:szCs w:val="21"/>
              </w:rPr>
            </w:pPr>
            <w:r>
              <w:rPr>
                <w:rFonts w:ascii="宋体" w:hAnsi="宋体" w:eastAsia="宋体" w:cs="宋体"/>
                <w:kern w:val="0"/>
                <w:szCs w:val="21"/>
              </w:rPr>
              <w:t>修订</w:t>
            </w:r>
          </w:p>
        </w:tc>
        <w:tc>
          <w:tcPr>
            <w:tcW w:w="1121" w:type="dxa"/>
            <w:vAlign w:val="center"/>
          </w:tcPr>
          <w:p>
            <w:pPr>
              <w:jc w:val="center"/>
              <w:rPr>
                <w:rFonts w:hint="eastAsia" w:ascii="宋体" w:hAnsi="宋体" w:eastAsia="宋体" w:cs="宋体"/>
                <w:kern w:val="0"/>
                <w:szCs w:val="21"/>
              </w:rPr>
            </w:pPr>
            <w:r>
              <w:rPr>
                <w:rFonts w:ascii="宋体" w:hAnsi="宋体" w:eastAsia="宋体" w:cs="宋体"/>
                <w:kern w:val="0"/>
                <w:szCs w:val="21"/>
              </w:rPr>
              <w:t>JT/T 479</w:t>
            </w:r>
            <w:r>
              <w:rPr>
                <w:rFonts w:hint="eastAsia" w:ascii="宋体" w:hAnsi="宋体" w:eastAsia="宋体" w:cs="宋体"/>
                <w:kern w:val="0"/>
                <w:szCs w:val="21"/>
              </w:rPr>
              <w:t>—</w:t>
            </w:r>
            <w:r>
              <w:rPr>
                <w:rFonts w:ascii="宋体" w:hAnsi="宋体" w:eastAsia="宋体" w:cs="宋体"/>
                <w:kern w:val="0"/>
                <w:szCs w:val="21"/>
              </w:rPr>
              <w:t>2002</w:t>
            </w:r>
          </w:p>
        </w:tc>
        <w:tc>
          <w:tcPr>
            <w:tcW w:w="846" w:type="dxa"/>
            <w:vAlign w:val="center"/>
          </w:tcPr>
          <w:p>
            <w:pPr>
              <w:jc w:val="center"/>
              <w:rPr>
                <w:rFonts w:hint="eastAsia" w:ascii="宋体" w:hAnsi="宋体" w:eastAsia="宋体" w:cs="宋体"/>
                <w:kern w:val="0"/>
                <w:szCs w:val="21"/>
              </w:rPr>
            </w:pPr>
            <w:r>
              <w:rPr>
                <w:rFonts w:ascii="宋体" w:hAnsi="宋体" w:eastAsia="宋体" w:cs="宋体"/>
                <w:kern w:val="0"/>
                <w:szCs w:val="21"/>
              </w:rPr>
              <w:t>12</w:t>
            </w:r>
          </w:p>
        </w:tc>
        <w:tc>
          <w:tcPr>
            <w:tcW w:w="988" w:type="dxa"/>
            <w:vAlign w:val="center"/>
          </w:tcPr>
          <w:p>
            <w:pPr>
              <w:jc w:val="center"/>
              <w:rPr>
                <w:rFonts w:hint="eastAsia" w:ascii="宋体" w:hAnsi="宋体" w:eastAsia="宋体" w:cs="宋体"/>
                <w:kern w:val="0"/>
                <w:szCs w:val="21"/>
              </w:rPr>
            </w:pPr>
            <w:r>
              <w:rPr>
                <w:rFonts w:ascii="宋体" w:hAnsi="宋体" w:eastAsia="宋体" w:cs="宋体"/>
                <w:kern w:val="0"/>
                <w:szCs w:val="21"/>
              </w:rPr>
              <w:t>内河船与水路运输标委会</w:t>
            </w:r>
          </w:p>
        </w:tc>
        <w:tc>
          <w:tcPr>
            <w:tcW w:w="2799" w:type="dxa"/>
            <w:vAlign w:val="center"/>
          </w:tcPr>
          <w:p>
            <w:pPr>
              <w:rPr>
                <w:rFonts w:hint="eastAsia" w:ascii="宋体" w:hAnsi="宋体" w:eastAsia="宋体" w:cs="宋体"/>
                <w:kern w:val="0"/>
                <w:szCs w:val="21"/>
              </w:rPr>
            </w:pPr>
            <w:r>
              <w:rPr>
                <w:rFonts w:ascii="宋体" w:hAnsi="宋体" w:eastAsia="宋体" w:cs="宋体"/>
                <w:kern w:val="0"/>
                <w:szCs w:val="21"/>
              </w:rPr>
              <w:t>哈尔滨工程大学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568" w:hRule="atLeast"/>
        </w:trPr>
        <w:tc>
          <w:tcPr>
            <w:tcW w:w="562" w:type="dxa"/>
            <w:vAlign w:val="center"/>
          </w:tcPr>
          <w:p>
            <w:pPr>
              <w:jc w:val="center"/>
              <w:rPr>
                <w:rFonts w:hint="eastAsia" w:ascii="宋体" w:hAnsi="宋体" w:eastAsia="宋体" w:cs="Times New Roman"/>
                <w:bCs/>
                <w:kern w:val="0"/>
                <w:szCs w:val="21"/>
              </w:rPr>
            </w:pPr>
            <w:r>
              <w:rPr>
                <w:rFonts w:hint="eastAsia" w:ascii="宋体" w:hAnsi="宋体" w:eastAsia="宋体" w:cs="Times New Roman"/>
                <w:bCs/>
                <w:kern w:val="0"/>
                <w:szCs w:val="21"/>
              </w:rPr>
              <w:t>11</w:t>
            </w:r>
          </w:p>
        </w:tc>
        <w:tc>
          <w:tcPr>
            <w:tcW w:w="1134" w:type="dxa"/>
            <w:vAlign w:val="center"/>
          </w:tcPr>
          <w:p>
            <w:pPr>
              <w:jc w:val="center"/>
              <w:rPr>
                <w:rFonts w:hint="eastAsia" w:ascii="宋体" w:hAnsi="宋体" w:eastAsia="宋体" w:cs="宋体"/>
                <w:color w:val="000000"/>
                <w:kern w:val="0"/>
                <w:szCs w:val="21"/>
              </w:rPr>
            </w:pPr>
            <w:r>
              <w:rPr>
                <w:rFonts w:hint="eastAsia" w:ascii="宋体" w:hAnsi="宋体" w:eastAsia="宋体"/>
                <w:kern w:val="0"/>
                <w:szCs w:val="21"/>
              </w:rPr>
              <w:t>JT 2024-11</w:t>
            </w:r>
          </w:p>
        </w:tc>
        <w:tc>
          <w:tcPr>
            <w:tcW w:w="1560" w:type="dxa"/>
            <w:vAlign w:val="center"/>
          </w:tcPr>
          <w:p>
            <w:pPr>
              <w:rPr>
                <w:rFonts w:hint="eastAsia" w:ascii="宋体" w:hAnsi="宋体" w:eastAsia="宋体" w:cs="Times New Roman"/>
                <w:kern w:val="0"/>
                <w:szCs w:val="21"/>
              </w:rPr>
            </w:pPr>
            <w:r>
              <w:rPr>
                <w:rFonts w:ascii="宋体" w:hAnsi="宋体" w:eastAsia="宋体" w:cs="Times New Roman"/>
                <w:kern w:val="0"/>
                <w:szCs w:val="21"/>
              </w:rPr>
              <w:t>船舶动力装置能量平衡测量与计算方法</w:t>
            </w:r>
          </w:p>
        </w:tc>
        <w:tc>
          <w:tcPr>
            <w:tcW w:w="5528" w:type="dxa"/>
            <w:vAlign w:val="center"/>
          </w:tcPr>
          <w:p>
            <w:pPr>
              <w:widowControl/>
              <w:rPr>
                <w:rFonts w:hint="eastAsia" w:ascii="宋体" w:hAnsi="宋体" w:eastAsia="宋体" w:cs="Times New Roman"/>
                <w:kern w:val="0"/>
                <w:szCs w:val="21"/>
              </w:rPr>
            </w:pPr>
            <w:r>
              <w:rPr>
                <w:rFonts w:ascii="宋体" w:hAnsi="宋体" w:eastAsia="宋体" w:cs="Times New Roman"/>
                <w:kern w:val="0"/>
                <w:szCs w:val="21"/>
              </w:rPr>
              <w:t>现行标准</w:t>
            </w:r>
            <w:r>
              <w:rPr>
                <w:rFonts w:hint="eastAsia" w:ascii="宋体" w:hAnsi="宋体" w:eastAsia="宋体" w:cs="Times New Roman"/>
                <w:kern w:val="0"/>
                <w:szCs w:val="21"/>
              </w:rPr>
              <w:t>规定了运输船舶的推进体系，</w:t>
            </w:r>
            <w:r>
              <w:rPr>
                <w:rFonts w:ascii="宋体" w:hAnsi="宋体" w:eastAsia="宋体" w:cs="Times New Roman"/>
                <w:kern w:val="0"/>
                <w:szCs w:val="21"/>
              </w:rPr>
              <w:t>电力体系和蒸汽体系能量平衡的测量与计算方法</w:t>
            </w:r>
            <w:r>
              <w:rPr>
                <w:rFonts w:hint="eastAsia" w:ascii="宋体" w:hAnsi="宋体" w:eastAsia="宋体" w:cs="Times New Roman"/>
                <w:kern w:val="0"/>
                <w:szCs w:val="21"/>
              </w:rPr>
              <w:t>。</w:t>
            </w:r>
          </w:p>
          <w:p>
            <w:pPr>
              <w:widowControl/>
              <w:rPr>
                <w:rFonts w:ascii="宋体" w:hAnsi="宋体" w:eastAsia="宋体" w:cs="Times New Roman"/>
                <w:kern w:val="0"/>
                <w:szCs w:val="21"/>
              </w:rPr>
            </w:pPr>
            <w:r>
              <w:rPr>
                <w:rFonts w:ascii="宋体" w:hAnsi="宋体" w:eastAsia="宋体" w:cs="Times New Roman"/>
                <w:kern w:val="0"/>
                <w:szCs w:val="21"/>
              </w:rPr>
              <w:t>适用于以柴油机为推进动力的各类运输船舶。</w:t>
            </w:r>
          </w:p>
          <w:p>
            <w:pPr>
              <w:widowControl/>
              <w:rPr>
                <w:rFonts w:hint="eastAsia" w:ascii="宋体" w:hAnsi="宋体" w:eastAsia="宋体" w:cs="Times New Roman"/>
                <w:kern w:val="0"/>
                <w:szCs w:val="21"/>
              </w:rPr>
            </w:pPr>
            <w:r>
              <w:rPr>
                <w:rFonts w:ascii="宋体" w:hAnsi="宋体" w:eastAsia="宋体" w:cs="Times New Roman"/>
                <w:kern w:val="0"/>
                <w:szCs w:val="21"/>
              </w:rPr>
              <w:t>主要修订内容：1.增加测量的基本要求；2.增加主机功率测量方法；3.增加燃油消耗量测量方法；4.</w:t>
            </w:r>
            <w:r>
              <w:rPr>
                <w:rFonts w:hint="eastAsia" w:ascii="宋体" w:hAnsi="宋体" w:eastAsia="宋体" w:cs="Times New Roman"/>
                <w:kern w:val="0"/>
                <w:szCs w:val="21"/>
              </w:rPr>
              <w:t>更改</w:t>
            </w:r>
            <w:r>
              <w:rPr>
                <w:rFonts w:ascii="宋体" w:hAnsi="宋体" w:eastAsia="宋体" w:cs="Times New Roman"/>
                <w:kern w:val="0"/>
                <w:szCs w:val="21"/>
              </w:rPr>
              <w:t>双纽线流量计测量要求。</w:t>
            </w:r>
          </w:p>
        </w:tc>
        <w:tc>
          <w:tcPr>
            <w:tcW w:w="709" w:type="dxa"/>
            <w:vAlign w:val="center"/>
          </w:tcPr>
          <w:p>
            <w:pPr>
              <w:jc w:val="center"/>
              <w:rPr>
                <w:rFonts w:hint="eastAsia" w:ascii="宋体" w:hAnsi="宋体" w:eastAsia="宋体" w:cs="宋体"/>
                <w:kern w:val="0"/>
                <w:szCs w:val="21"/>
              </w:rPr>
            </w:pPr>
            <w:r>
              <w:rPr>
                <w:rFonts w:ascii="宋体" w:hAnsi="宋体" w:eastAsia="宋体" w:cs="宋体"/>
                <w:kern w:val="0"/>
                <w:szCs w:val="21"/>
              </w:rPr>
              <w:t>修订</w:t>
            </w:r>
          </w:p>
        </w:tc>
        <w:tc>
          <w:tcPr>
            <w:tcW w:w="1121" w:type="dxa"/>
            <w:vAlign w:val="center"/>
          </w:tcPr>
          <w:p>
            <w:pPr>
              <w:jc w:val="center"/>
              <w:rPr>
                <w:rFonts w:hint="eastAsia" w:ascii="宋体" w:hAnsi="宋体" w:eastAsia="宋体" w:cs="宋体"/>
                <w:kern w:val="0"/>
                <w:szCs w:val="21"/>
              </w:rPr>
            </w:pPr>
            <w:r>
              <w:rPr>
                <w:rFonts w:ascii="宋体" w:hAnsi="宋体" w:eastAsia="宋体" w:cs="宋体"/>
                <w:kern w:val="0"/>
                <w:szCs w:val="21"/>
              </w:rPr>
              <w:t>JT/T 340</w:t>
            </w:r>
            <w:r>
              <w:rPr>
                <w:rFonts w:hint="eastAsia" w:ascii="宋体" w:hAnsi="宋体" w:eastAsia="宋体" w:cs="宋体"/>
                <w:kern w:val="0"/>
                <w:szCs w:val="21"/>
              </w:rPr>
              <w:t>—</w:t>
            </w:r>
            <w:r>
              <w:rPr>
                <w:rFonts w:ascii="宋体" w:hAnsi="宋体" w:eastAsia="宋体" w:cs="宋体"/>
                <w:kern w:val="0"/>
                <w:szCs w:val="21"/>
              </w:rPr>
              <w:t>2009</w:t>
            </w:r>
          </w:p>
        </w:tc>
        <w:tc>
          <w:tcPr>
            <w:tcW w:w="846" w:type="dxa"/>
            <w:vAlign w:val="center"/>
          </w:tcPr>
          <w:p>
            <w:pPr>
              <w:jc w:val="center"/>
              <w:rPr>
                <w:rFonts w:hint="eastAsia" w:ascii="宋体" w:hAnsi="宋体" w:eastAsia="宋体" w:cs="宋体"/>
                <w:kern w:val="0"/>
                <w:szCs w:val="21"/>
              </w:rPr>
            </w:pPr>
            <w:r>
              <w:rPr>
                <w:rFonts w:ascii="宋体" w:hAnsi="宋体" w:eastAsia="宋体" w:cs="宋体"/>
                <w:kern w:val="0"/>
                <w:szCs w:val="21"/>
              </w:rPr>
              <w:t>12</w:t>
            </w:r>
          </w:p>
        </w:tc>
        <w:tc>
          <w:tcPr>
            <w:tcW w:w="988" w:type="dxa"/>
            <w:vAlign w:val="center"/>
          </w:tcPr>
          <w:p>
            <w:pPr>
              <w:jc w:val="center"/>
              <w:rPr>
                <w:rFonts w:hint="eastAsia" w:ascii="宋体" w:hAnsi="宋体" w:eastAsia="宋体" w:cs="宋体"/>
                <w:kern w:val="0"/>
                <w:szCs w:val="21"/>
              </w:rPr>
            </w:pPr>
            <w:r>
              <w:rPr>
                <w:rFonts w:ascii="宋体" w:hAnsi="宋体" w:eastAsia="宋体" w:cs="宋体"/>
                <w:kern w:val="0"/>
                <w:szCs w:val="21"/>
              </w:rPr>
              <w:t>内河船与水路运输标委会</w:t>
            </w:r>
          </w:p>
        </w:tc>
        <w:tc>
          <w:tcPr>
            <w:tcW w:w="2799" w:type="dxa"/>
            <w:vAlign w:val="center"/>
          </w:tcPr>
          <w:p>
            <w:pPr>
              <w:rPr>
                <w:rFonts w:hint="eastAsia" w:ascii="宋体" w:hAnsi="宋体" w:eastAsia="宋体" w:cs="宋体"/>
                <w:kern w:val="0"/>
                <w:szCs w:val="21"/>
              </w:rPr>
            </w:pPr>
            <w:r>
              <w:rPr>
                <w:rFonts w:ascii="宋体" w:hAnsi="宋体" w:eastAsia="宋体" w:cs="宋体"/>
                <w:kern w:val="0"/>
                <w:szCs w:val="21"/>
              </w:rPr>
              <w:t>哈尔滨工程大学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568" w:hRule="atLeast"/>
        </w:trPr>
        <w:tc>
          <w:tcPr>
            <w:tcW w:w="562" w:type="dxa"/>
            <w:vAlign w:val="center"/>
          </w:tcPr>
          <w:p>
            <w:pPr>
              <w:jc w:val="center"/>
              <w:rPr>
                <w:rFonts w:hint="eastAsia" w:ascii="宋体" w:hAnsi="宋体" w:eastAsia="宋体" w:cs="Times New Roman"/>
                <w:bCs/>
                <w:kern w:val="0"/>
                <w:szCs w:val="21"/>
              </w:rPr>
            </w:pPr>
            <w:r>
              <w:rPr>
                <w:rFonts w:hint="eastAsia" w:ascii="宋体" w:hAnsi="宋体" w:eastAsia="宋体" w:cs="Times New Roman"/>
                <w:bCs/>
                <w:kern w:val="0"/>
                <w:szCs w:val="21"/>
              </w:rPr>
              <w:t>12</w:t>
            </w:r>
          </w:p>
        </w:tc>
        <w:tc>
          <w:tcPr>
            <w:tcW w:w="1134" w:type="dxa"/>
            <w:vAlign w:val="center"/>
          </w:tcPr>
          <w:p>
            <w:pPr>
              <w:jc w:val="center"/>
              <w:rPr>
                <w:rFonts w:hint="eastAsia" w:ascii="宋体" w:hAnsi="宋体" w:eastAsia="宋体" w:cs="宋体"/>
                <w:color w:val="000000"/>
                <w:kern w:val="0"/>
                <w:szCs w:val="21"/>
              </w:rPr>
            </w:pPr>
            <w:r>
              <w:rPr>
                <w:rFonts w:hint="eastAsia" w:ascii="宋体" w:hAnsi="宋体" w:eastAsia="宋体"/>
                <w:kern w:val="0"/>
                <w:szCs w:val="21"/>
              </w:rPr>
              <w:t>JT 2024-12</w:t>
            </w:r>
          </w:p>
        </w:tc>
        <w:tc>
          <w:tcPr>
            <w:tcW w:w="1560" w:type="dxa"/>
            <w:vAlign w:val="center"/>
          </w:tcPr>
          <w:p>
            <w:pPr>
              <w:rPr>
                <w:rFonts w:hint="eastAsia" w:ascii="宋体" w:hAnsi="宋体" w:eastAsia="宋体" w:cs="Times New Roman"/>
                <w:kern w:val="0"/>
                <w:szCs w:val="21"/>
              </w:rPr>
            </w:pPr>
            <w:r>
              <w:rPr>
                <w:rFonts w:ascii="宋体" w:hAnsi="宋体" w:eastAsia="宋体" w:cs="Times New Roman"/>
                <w:kern w:val="0"/>
                <w:szCs w:val="21"/>
              </w:rPr>
              <w:t>船体结构低温焊接</w:t>
            </w:r>
          </w:p>
        </w:tc>
        <w:tc>
          <w:tcPr>
            <w:tcW w:w="5528" w:type="dxa"/>
            <w:vAlign w:val="center"/>
          </w:tcPr>
          <w:p>
            <w:pPr>
              <w:widowControl/>
              <w:rPr>
                <w:rFonts w:hint="eastAsia" w:ascii="宋体" w:hAnsi="宋体" w:eastAsia="宋体" w:cs="Times New Roman"/>
                <w:kern w:val="0"/>
                <w:szCs w:val="21"/>
              </w:rPr>
            </w:pPr>
            <w:r>
              <w:rPr>
                <w:rFonts w:ascii="宋体" w:hAnsi="宋体" w:eastAsia="宋体" w:cs="Times New Roman"/>
                <w:kern w:val="0"/>
                <w:szCs w:val="21"/>
              </w:rPr>
              <w:t>现行标准规定了船体结构低温焊接技术条件的术语和定义、焊接规范、技术条件</w:t>
            </w:r>
            <w:r>
              <w:rPr>
                <w:rFonts w:hint="eastAsia" w:ascii="宋体" w:hAnsi="宋体" w:eastAsia="宋体" w:cs="Times New Roman"/>
                <w:kern w:val="0"/>
                <w:szCs w:val="21"/>
              </w:rPr>
              <w:t>。</w:t>
            </w:r>
          </w:p>
          <w:p>
            <w:pPr>
              <w:widowControl/>
              <w:rPr>
                <w:rFonts w:hint="eastAsia" w:ascii="宋体" w:hAnsi="宋体" w:eastAsia="宋体" w:cs="Times New Roman"/>
                <w:kern w:val="0"/>
                <w:szCs w:val="21"/>
              </w:rPr>
            </w:pPr>
            <w:r>
              <w:rPr>
                <w:rFonts w:ascii="宋体" w:hAnsi="宋体" w:eastAsia="宋体" w:cs="Times New Roman"/>
                <w:kern w:val="0"/>
                <w:szCs w:val="21"/>
              </w:rPr>
              <w:t>适用于周围温度低于0℃时，进行碳素钢及低合金钢所制成船体结构的自动焊、半自动焊和手工焊接。</w:t>
            </w:r>
          </w:p>
          <w:p>
            <w:pPr>
              <w:widowControl/>
              <w:rPr>
                <w:rFonts w:hint="eastAsia" w:ascii="宋体" w:hAnsi="宋体" w:eastAsia="宋体" w:cs="Times New Roman"/>
                <w:kern w:val="0"/>
                <w:szCs w:val="21"/>
              </w:rPr>
            </w:pPr>
            <w:r>
              <w:rPr>
                <w:rFonts w:ascii="宋体" w:hAnsi="宋体" w:eastAsia="宋体" w:cs="Times New Roman"/>
                <w:kern w:val="0"/>
                <w:szCs w:val="21"/>
              </w:rPr>
              <w:t>主要修订内容：1.增加术语和定义；2.增加焊接规范；3.增加施焊、环境条件、引弧熄弧、温度测量、温度控制、焊接电流等技术条件；4.增加保暖措施、焊前预热、层间温度、温度测量方法、焊后处理等要求。</w:t>
            </w:r>
          </w:p>
        </w:tc>
        <w:tc>
          <w:tcPr>
            <w:tcW w:w="709" w:type="dxa"/>
            <w:vAlign w:val="center"/>
          </w:tcPr>
          <w:p>
            <w:pPr>
              <w:jc w:val="center"/>
              <w:rPr>
                <w:rFonts w:hint="eastAsia" w:ascii="宋体" w:hAnsi="宋体" w:eastAsia="宋体" w:cs="宋体"/>
                <w:kern w:val="0"/>
                <w:szCs w:val="21"/>
              </w:rPr>
            </w:pPr>
            <w:r>
              <w:rPr>
                <w:rFonts w:ascii="宋体" w:hAnsi="宋体" w:eastAsia="宋体" w:cs="宋体"/>
                <w:kern w:val="0"/>
                <w:szCs w:val="21"/>
              </w:rPr>
              <w:t>修订</w:t>
            </w:r>
          </w:p>
        </w:tc>
        <w:tc>
          <w:tcPr>
            <w:tcW w:w="1121" w:type="dxa"/>
            <w:vAlign w:val="center"/>
          </w:tcPr>
          <w:p>
            <w:pPr>
              <w:jc w:val="center"/>
              <w:rPr>
                <w:rFonts w:hint="eastAsia" w:ascii="宋体" w:hAnsi="宋体" w:eastAsia="宋体" w:cs="宋体"/>
                <w:kern w:val="0"/>
                <w:szCs w:val="21"/>
              </w:rPr>
            </w:pPr>
            <w:r>
              <w:rPr>
                <w:rFonts w:ascii="宋体" w:hAnsi="宋体" w:eastAsia="宋体" w:cs="宋体"/>
                <w:kern w:val="0"/>
                <w:szCs w:val="21"/>
              </w:rPr>
              <w:t>JT/T 240</w:t>
            </w:r>
            <w:r>
              <w:rPr>
                <w:rFonts w:hint="eastAsia" w:ascii="宋体" w:hAnsi="宋体" w:eastAsia="宋体" w:cs="宋体"/>
                <w:kern w:val="0"/>
                <w:szCs w:val="21"/>
              </w:rPr>
              <w:t>—</w:t>
            </w:r>
            <w:r>
              <w:rPr>
                <w:rFonts w:ascii="宋体" w:hAnsi="宋体" w:eastAsia="宋体" w:cs="宋体"/>
                <w:kern w:val="0"/>
                <w:szCs w:val="21"/>
              </w:rPr>
              <w:t>1995</w:t>
            </w:r>
          </w:p>
        </w:tc>
        <w:tc>
          <w:tcPr>
            <w:tcW w:w="846" w:type="dxa"/>
            <w:vAlign w:val="center"/>
          </w:tcPr>
          <w:p>
            <w:pPr>
              <w:jc w:val="center"/>
              <w:rPr>
                <w:rFonts w:hint="eastAsia" w:ascii="宋体" w:hAnsi="宋体" w:eastAsia="宋体" w:cs="宋体"/>
                <w:kern w:val="0"/>
                <w:szCs w:val="21"/>
              </w:rPr>
            </w:pPr>
            <w:r>
              <w:rPr>
                <w:rFonts w:ascii="宋体" w:hAnsi="宋体" w:eastAsia="宋体" w:cs="宋体"/>
                <w:kern w:val="0"/>
                <w:szCs w:val="21"/>
              </w:rPr>
              <w:t>12</w:t>
            </w:r>
          </w:p>
        </w:tc>
        <w:tc>
          <w:tcPr>
            <w:tcW w:w="988" w:type="dxa"/>
            <w:vAlign w:val="center"/>
          </w:tcPr>
          <w:p>
            <w:pPr>
              <w:jc w:val="center"/>
              <w:rPr>
                <w:rFonts w:hint="eastAsia" w:ascii="宋体" w:hAnsi="宋体" w:eastAsia="宋体" w:cs="宋体"/>
                <w:kern w:val="0"/>
                <w:szCs w:val="21"/>
              </w:rPr>
            </w:pPr>
            <w:r>
              <w:rPr>
                <w:rFonts w:ascii="宋体" w:hAnsi="宋体" w:eastAsia="宋体" w:cs="宋体"/>
                <w:kern w:val="0"/>
                <w:szCs w:val="21"/>
              </w:rPr>
              <w:t>内河船与水路运输标委会</w:t>
            </w:r>
          </w:p>
        </w:tc>
        <w:tc>
          <w:tcPr>
            <w:tcW w:w="2799" w:type="dxa"/>
            <w:vAlign w:val="center"/>
          </w:tcPr>
          <w:p>
            <w:pPr>
              <w:rPr>
                <w:rFonts w:hint="eastAsia" w:ascii="宋体" w:hAnsi="宋体" w:eastAsia="宋体" w:cs="宋体"/>
                <w:kern w:val="0"/>
                <w:szCs w:val="21"/>
              </w:rPr>
            </w:pPr>
            <w:r>
              <w:rPr>
                <w:rFonts w:ascii="宋体" w:hAnsi="宋体" w:eastAsia="宋体" w:cs="宋体"/>
                <w:kern w:val="0"/>
                <w:szCs w:val="21"/>
              </w:rPr>
              <w:t>惠生清洁能源科技集团股份有限公司</w:t>
            </w:r>
            <w:r>
              <w:rPr>
                <w:rFonts w:hint="eastAsia" w:ascii="宋体" w:hAnsi="宋体" w:eastAsia="宋体" w:cs="宋体"/>
                <w:kern w:val="0"/>
                <w:szCs w:val="21"/>
              </w:rPr>
              <w:t>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568" w:hRule="atLeast"/>
        </w:trPr>
        <w:tc>
          <w:tcPr>
            <w:tcW w:w="562" w:type="dxa"/>
            <w:vAlign w:val="center"/>
          </w:tcPr>
          <w:p>
            <w:pPr>
              <w:jc w:val="center"/>
              <w:rPr>
                <w:rFonts w:hint="eastAsia" w:ascii="宋体" w:hAnsi="宋体" w:eastAsia="宋体" w:cs="Times New Roman"/>
                <w:bCs/>
                <w:kern w:val="0"/>
                <w:szCs w:val="21"/>
              </w:rPr>
            </w:pPr>
            <w:r>
              <w:rPr>
                <w:rFonts w:hint="eastAsia" w:ascii="宋体" w:hAnsi="宋体" w:eastAsia="宋体" w:cs="Times New Roman"/>
                <w:bCs/>
                <w:kern w:val="0"/>
                <w:szCs w:val="21"/>
              </w:rPr>
              <w:t>13</w:t>
            </w:r>
          </w:p>
        </w:tc>
        <w:tc>
          <w:tcPr>
            <w:tcW w:w="1134" w:type="dxa"/>
            <w:vAlign w:val="center"/>
          </w:tcPr>
          <w:p>
            <w:pPr>
              <w:jc w:val="center"/>
              <w:rPr>
                <w:rFonts w:hint="eastAsia" w:ascii="宋体" w:hAnsi="宋体" w:eastAsia="宋体" w:cs="宋体"/>
                <w:color w:val="000000"/>
                <w:kern w:val="0"/>
                <w:szCs w:val="21"/>
              </w:rPr>
            </w:pPr>
            <w:r>
              <w:rPr>
                <w:rFonts w:hint="eastAsia" w:ascii="宋体" w:hAnsi="宋体" w:eastAsia="宋体"/>
                <w:kern w:val="0"/>
                <w:szCs w:val="21"/>
              </w:rPr>
              <w:t>JT 2024-13</w:t>
            </w:r>
          </w:p>
        </w:tc>
        <w:tc>
          <w:tcPr>
            <w:tcW w:w="1560" w:type="dxa"/>
            <w:vAlign w:val="center"/>
          </w:tcPr>
          <w:p>
            <w:pPr>
              <w:rPr>
                <w:rFonts w:hint="eastAsia" w:ascii="宋体" w:hAnsi="宋体" w:eastAsia="宋体" w:cs="Times New Roman"/>
                <w:kern w:val="0"/>
                <w:szCs w:val="21"/>
              </w:rPr>
            </w:pPr>
            <w:r>
              <w:rPr>
                <w:rFonts w:hint="eastAsia" w:ascii="宋体" w:hAnsi="宋体" w:eastAsia="宋体" w:cs="Times New Roman"/>
                <w:kern w:val="0"/>
                <w:szCs w:val="21"/>
              </w:rPr>
              <w:t>汽车</w:t>
            </w:r>
            <w:r>
              <w:rPr>
                <w:rFonts w:ascii="宋体" w:hAnsi="宋体" w:eastAsia="宋体" w:cs="Times New Roman"/>
                <w:kern w:val="0"/>
                <w:szCs w:val="21"/>
              </w:rPr>
              <w:t>喷烤漆房能源消耗量限值及能源效率等级</w:t>
            </w:r>
          </w:p>
        </w:tc>
        <w:tc>
          <w:tcPr>
            <w:tcW w:w="5528" w:type="dxa"/>
            <w:vAlign w:val="center"/>
          </w:tcPr>
          <w:p>
            <w:pPr>
              <w:widowControl/>
              <w:rPr>
                <w:rFonts w:hint="eastAsia" w:ascii="宋体" w:hAnsi="宋体" w:eastAsia="宋体" w:cs="Times New Roman"/>
                <w:kern w:val="0"/>
                <w:szCs w:val="21"/>
              </w:rPr>
            </w:pPr>
            <w:r>
              <w:rPr>
                <w:rFonts w:ascii="宋体" w:hAnsi="宋体" w:eastAsia="宋体" w:cs="Times New Roman"/>
                <w:kern w:val="0"/>
                <w:szCs w:val="21"/>
              </w:rPr>
              <w:t>现行标准规定了汽车喷烤漆房的能源消耗量限值、能源效率等级、能源消耗量测试与计算方法以及能源效率等级标识等</w:t>
            </w:r>
            <w:r>
              <w:rPr>
                <w:rFonts w:hint="eastAsia" w:ascii="宋体" w:hAnsi="宋体" w:eastAsia="宋体" w:cs="Times New Roman"/>
                <w:kern w:val="0"/>
                <w:szCs w:val="21"/>
              </w:rPr>
              <w:t>。</w:t>
            </w:r>
          </w:p>
          <w:p>
            <w:pPr>
              <w:widowControl/>
              <w:rPr>
                <w:rFonts w:hint="eastAsia" w:ascii="宋体" w:hAnsi="宋体" w:eastAsia="宋体" w:cs="Times New Roman"/>
                <w:kern w:val="0"/>
                <w:szCs w:val="21"/>
              </w:rPr>
            </w:pPr>
            <w:r>
              <w:rPr>
                <w:rFonts w:ascii="宋体" w:hAnsi="宋体" w:eastAsia="宋体" w:cs="Times New Roman"/>
                <w:kern w:val="0"/>
                <w:szCs w:val="21"/>
              </w:rPr>
              <w:t>适用于汽车维修作业用的喷烤漆房，其他汽车喷烤漆房可参照执行。</w:t>
            </w:r>
          </w:p>
          <w:p>
            <w:pPr>
              <w:widowControl/>
              <w:rPr>
                <w:rFonts w:hint="eastAsia" w:ascii="宋体" w:hAnsi="宋体" w:eastAsia="宋体" w:cs="Times New Roman"/>
                <w:kern w:val="0"/>
                <w:szCs w:val="21"/>
              </w:rPr>
            </w:pPr>
            <w:r>
              <w:rPr>
                <w:rFonts w:ascii="宋体" w:hAnsi="宋体" w:eastAsia="宋体" w:cs="Times New Roman"/>
                <w:kern w:val="0"/>
                <w:szCs w:val="21"/>
              </w:rPr>
              <w:t>主要修订内容：1.更改喷烤漆房典型能源消耗量及能源效率等级、目标能源消耗量限值；2.更改喷烤漆房典型能源消耗量的计算方法；3.更改“烤漆作业时”应满足的条件、“工况时间分配”的计时单位及测试时的“温度测量”条件。</w:t>
            </w:r>
          </w:p>
        </w:tc>
        <w:tc>
          <w:tcPr>
            <w:tcW w:w="709" w:type="dxa"/>
            <w:vAlign w:val="center"/>
          </w:tcPr>
          <w:p>
            <w:pPr>
              <w:jc w:val="center"/>
              <w:rPr>
                <w:rFonts w:hint="eastAsia" w:ascii="宋体" w:hAnsi="宋体" w:eastAsia="宋体" w:cs="宋体"/>
                <w:kern w:val="0"/>
                <w:szCs w:val="21"/>
              </w:rPr>
            </w:pPr>
            <w:r>
              <w:rPr>
                <w:rFonts w:ascii="宋体" w:hAnsi="宋体" w:eastAsia="宋体" w:cs="宋体"/>
                <w:kern w:val="0"/>
                <w:szCs w:val="21"/>
              </w:rPr>
              <w:t>修订</w:t>
            </w:r>
          </w:p>
        </w:tc>
        <w:tc>
          <w:tcPr>
            <w:tcW w:w="1121" w:type="dxa"/>
            <w:vAlign w:val="center"/>
          </w:tcPr>
          <w:p>
            <w:pPr>
              <w:jc w:val="center"/>
              <w:rPr>
                <w:rFonts w:hint="eastAsia" w:ascii="宋体" w:hAnsi="宋体" w:eastAsia="宋体" w:cs="宋体"/>
                <w:kern w:val="0"/>
                <w:szCs w:val="21"/>
              </w:rPr>
            </w:pPr>
            <w:r>
              <w:rPr>
                <w:rFonts w:ascii="宋体" w:hAnsi="宋体" w:eastAsia="宋体" w:cs="宋体"/>
                <w:kern w:val="0"/>
                <w:szCs w:val="21"/>
              </w:rPr>
              <w:t>JT/T 938</w:t>
            </w:r>
            <w:r>
              <w:rPr>
                <w:rFonts w:hint="eastAsia" w:ascii="宋体" w:hAnsi="宋体" w:eastAsia="宋体" w:cs="宋体"/>
                <w:kern w:val="0"/>
                <w:szCs w:val="21"/>
              </w:rPr>
              <w:t>—</w:t>
            </w:r>
            <w:r>
              <w:rPr>
                <w:rFonts w:ascii="宋体" w:hAnsi="宋体" w:eastAsia="宋体" w:cs="宋体"/>
                <w:kern w:val="0"/>
                <w:szCs w:val="21"/>
              </w:rPr>
              <w:t>2014</w:t>
            </w:r>
          </w:p>
        </w:tc>
        <w:tc>
          <w:tcPr>
            <w:tcW w:w="846" w:type="dxa"/>
            <w:vAlign w:val="center"/>
          </w:tcPr>
          <w:p>
            <w:pPr>
              <w:jc w:val="center"/>
              <w:rPr>
                <w:rFonts w:hint="eastAsia" w:ascii="宋体" w:hAnsi="宋体" w:eastAsia="宋体" w:cs="宋体"/>
                <w:kern w:val="0"/>
                <w:szCs w:val="21"/>
              </w:rPr>
            </w:pPr>
            <w:r>
              <w:rPr>
                <w:rFonts w:ascii="宋体" w:hAnsi="宋体" w:eastAsia="宋体" w:cs="宋体"/>
                <w:kern w:val="0"/>
                <w:szCs w:val="21"/>
              </w:rPr>
              <w:t>12</w:t>
            </w:r>
          </w:p>
        </w:tc>
        <w:tc>
          <w:tcPr>
            <w:tcW w:w="988" w:type="dxa"/>
            <w:vAlign w:val="center"/>
          </w:tcPr>
          <w:p>
            <w:pPr>
              <w:jc w:val="center"/>
              <w:rPr>
                <w:rFonts w:hint="eastAsia" w:ascii="宋体" w:hAnsi="宋体" w:eastAsia="宋体" w:cs="宋体"/>
                <w:kern w:val="0"/>
                <w:szCs w:val="21"/>
              </w:rPr>
            </w:pPr>
            <w:r>
              <w:rPr>
                <w:rFonts w:ascii="宋体" w:hAnsi="宋体" w:eastAsia="宋体" w:cs="宋体"/>
                <w:kern w:val="0"/>
                <w:szCs w:val="21"/>
              </w:rPr>
              <w:t>汽车维修标委会</w:t>
            </w:r>
          </w:p>
        </w:tc>
        <w:tc>
          <w:tcPr>
            <w:tcW w:w="2799" w:type="dxa"/>
            <w:vAlign w:val="center"/>
          </w:tcPr>
          <w:p>
            <w:pPr>
              <w:rPr>
                <w:rFonts w:hint="eastAsia" w:ascii="宋体" w:hAnsi="宋体" w:eastAsia="宋体" w:cs="宋体"/>
                <w:kern w:val="0"/>
                <w:szCs w:val="21"/>
              </w:rPr>
            </w:pPr>
            <w:r>
              <w:rPr>
                <w:rFonts w:ascii="宋体" w:hAnsi="宋体" w:eastAsia="宋体" w:cs="宋体"/>
                <w:kern w:val="0"/>
                <w:szCs w:val="21"/>
              </w:rPr>
              <w:t>中国汽车保修设备行业协会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568" w:hRule="atLeast"/>
        </w:trPr>
        <w:tc>
          <w:tcPr>
            <w:tcW w:w="562" w:type="dxa"/>
            <w:vAlign w:val="center"/>
          </w:tcPr>
          <w:p>
            <w:pPr>
              <w:jc w:val="center"/>
              <w:rPr>
                <w:rFonts w:hint="eastAsia" w:ascii="宋体" w:hAnsi="宋体" w:eastAsia="宋体" w:cs="Times New Roman"/>
                <w:bCs/>
                <w:kern w:val="0"/>
                <w:szCs w:val="21"/>
              </w:rPr>
            </w:pPr>
            <w:r>
              <w:rPr>
                <w:rFonts w:hint="eastAsia" w:ascii="宋体" w:hAnsi="宋体" w:eastAsia="宋体" w:cs="Times New Roman"/>
                <w:bCs/>
                <w:kern w:val="0"/>
                <w:szCs w:val="21"/>
              </w:rPr>
              <w:t>14</w:t>
            </w:r>
          </w:p>
        </w:tc>
        <w:tc>
          <w:tcPr>
            <w:tcW w:w="1134" w:type="dxa"/>
            <w:vAlign w:val="center"/>
          </w:tcPr>
          <w:p>
            <w:pPr>
              <w:jc w:val="center"/>
              <w:rPr>
                <w:rFonts w:hint="eastAsia" w:ascii="宋体" w:hAnsi="宋体" w:eastAsia="宋体" w:cs="宋体"/>
                <w:color w:val="000000"/>
                <w:kern w:val="0"/>
                <w:szCs w:val="21"/>
              </w:rPr>
            </w:pPr>
            <w:r>
              <w:rPr>
                <w:rFonts w:hint="eastAsia" w:ascii="宋体" w:hAnsi="宋体" w:eastAsia="宋体"/>
                <w:kern w:val="0"/>
                <w:szCs w:val="21"/>
              </w:rPr>
              <w:t>JT 2024-14</w:t>
            </w:r>
          </w:p>
        </w:tc>
        <w:tc>
          <w:tcPr>
            <w:tcW w:w="1560" w:type="dxa"/>
            <w:vAlign w:val="center"/>
          </w:tcPr>
          <w:p>
            <w:pPr>
              <w:rPr>
                <w:rFonts w:hint="eastAsia" w:ascii="宋体" w:hAnsi="宋体" w:eastAsia="宋体" w:cs="Times New Roman"/>
                <w:kern w:val="0"/>
                <w:szCs w:val="21"/>
              </w:rPr>
            </w:pPr>
            <w:r>
              <w:rPr>
                <w:rFonts w:ascii="宋体" w:hAnsi="宋体" w:eastAsia="宋体" w:cs="Times New Roman"/>
                <w:kern w:val="0"/>
                <w:szCs w:val="21"/>
              </w:rPr>
              <w:t>智能运输系统  供配电系统节能技术要求</w:t>
            </w:r>
          </w:p>
        </w:tc>
        <w:tc>
          <w:tcPr>
            <w:tcW w:w="5528" w:type="dxa"/>
            <w:vAlign w:val="center"/>
          </w:tcPr>
          <w:p>
            <w:pPr>
              <w:widowControl/>
              <w:rPr>
                <w:rFonts w:hint="eastAsia" w:ascii="宋体" w:hAnsi="宋体" w:eastAsia="宋体" w:cs="Times New Roman"/>
                <w:kern w:val="0"/>
                <w:szCs w:val="21"/>
              </w:rPr>
            </w:pPr>
            <w:r>
              <w:rPr>
                <w:rFonts w:ascii="宋体" w:hAnsi="宋体" w:eastAsia="宋体" w:cs="Times New Roman"/>
                <w:kern w:val="0"/>
                <w:szCs w:val="21"/>
              </w:rPr>
              <w:t>现行标准规定了智能运输供配电系统的节能技术要求，电压</w:t>
            </w:r>
            <w:r>
              <w:rPr>
                <w:rFonts w:hint="eastAsia" w:ascii="宋体" w:hAnsi="宋体" w:eastAsia="宋体" w:cs="Times New Roman"/>
                <w:kern w:val="0"/>
                <w:szCs w:val="21"/>
              </w:rPr>
              <w:t>与</w:t>
            </w:r>
            <w:r>
              <w:rPr>
                <w:rFonts w:ascii="宋体" w:hAnsi="宋体" w:eastAsia="宋体" w:cs="Times New Roman"/>
                <w:kern w:val="0"/>
                <w:szCs w:val="21"/>
              </w:rPr>
              <w:t>电力线路、三相平衡、供配电系统电能质量、供配电设备、照明和通风供配电系统等节能技术要求，以及能耗监测要求</w:t>
            </w:r>
            <w:r>
              <w:rPr>
                <w:rFonts w:hint="eastAsia" w:ascii="宋体" w:hAnsi="宋体" w:eastAsia="宋体" w:cs="Times New Roman"/>
                <w:kern w:val="0"/>
                <w:szCs w:val="21"/>
              </w:rPr>
              <w:t>。</w:t>
            </w:r>
          </w:p>
          <w:p>
            <w:pPr>
              <w:widowControl/>
              <w:rPr>
                <w:rFonts w:hint="eastAsia" w:ascii="宋体" w:hAnsi="宋体" w:eastAsia="宋体" w:cs="Times New Roman"/>
                <w:kern w:val="0"/>
                <w:szCs w:val="21"/>
              </w:rPr>
            </w:pPr>
            <w:r>
              <w:rPr>
                <w:rFonts w:ascii="宋体" w:hAnsi="宋体" w:eastAsia="宋体" w:cs="Times New Roman"/>
                <w:kern w:val="0"/>
                <w:szCs w:val="21"/>
              </w:rPr>
              <w:t>适用于交通运输行业公路和城市道路的智能运输供配电系统，铁路、民航、水运行业可参照使用。</w:t>
            </w:r>
          </w:p>
          <w:p>
            <w:pPr>
              <w:widowControl/>
              <w:rPr>
                <w:rFonts w:hint="eastAsia" w:ascii="宋体" w:hAnsi="宋体" w:eastAsia="宋体" w:cs="Times New Roman"/>
                <w:kern w:val="0"/>
                <w:szCs w:val="21"/>
              </w:rPr>
            </w:pPr>
            <w:r>
              <w:rPr>
                <w:rFonts w:ascii="宋体" w:hAnsi="宋体" w:eastAsia="宋体" w:cs="Times New Roman"/>
                <w:kern w:val="0"/>
                <w:szCs w:val="21"/>
              </w:rPr>
              <w:t>主要修订内容：增加清洁能源应用相关内容；增加负荷侧多类型供电技术相关内容；完善供配电系统运行与节能监测相关内容。</w:t>
            </w:r>
          </w:p>
        </w:tc>
        <w:tc>
          <w:tcPr>
            <w:tcW w:w="709" w:type="dxa"/>
            <w:vAlign w:val="center"/>
          </w:tcPr>
          <w:p>
            <w:pPr>
              <w:jc w:val="center"/>
              <w:rPr>
                <w:rFonts w:hint="eastAsia" w:ascii="宋体" w:hAnsi="宋体" w:eastAsia="宋体" w:cs="宋体"/>
                <w:kern w:val="0"/>
                <w:szCs w:val="21"/>
              </w:rPr>
            </w:pPr>
            <w:r>
              <w:rPr>
                <w:rFonts w:ascii="宋体" w:hAnsi="宋体" w:eastAsia="宋体" w:cs="宋体"/>
                <w:kern w:val="0"/>
                <w:szCs w:val="21"/>
              </w:rPr>
              <w:t>修订</w:t>
            </w:r>
          </w:p>
        </w:tc>
        <w:tc>
          <w:tcPr>
            <w:tcW w:w="1121" w:type="dxa"/>
            <w:vAlign w:val="center"/>
          </w:tcPr>
          <w:p>
            <w:pPr>
              <w:jc w:val="center"/>
              <w:rPr>
                <w:rFonts w:hint="eastAsia" w:ascii="宋体" w:hAnsi="宋体" w:eastAsia="宋体" w:cs="宋体"/>
                <w:kern w:val="0"/>
                <w:szCs w:val="21"/>
              </w:rPr>
            </w:pPr>
            <w:r>
              <w:rPr>
                <w:rFonts w:ascii="宋体" w:hAnsi="宋体" w:eastAsia="宋体" w:cs="宋体"/>
                <w:kern w:val="0"/>
                <w:szCs w:val="21"/>
              </w:rPr>
              <w:t>JT/T 1228</w:t>
            </w:r>
            <w:r>
              <w:rPr>
                <w:rFonts w:hint="eastAsia" w:ascii="宋体" w:hAnsi="宋体" w:eastAsia="宋体" w:cs="宋体"/>
                <w:kern w:val="0"/>
                <w:szCs w:val="21"/>
              </w:rPr>
              <w:t>—</w:t>
            </w:r>
            <w:r>
              <w:rPr>
                <w:rFonts w:ascii="宋体" w:hAnsi="宋体" w:eastAsia="宋体" w:cs="宋体"/>
                <w:kern w:val="0"/>
                <w:szCs w:val="21"/>
              </w:rPr>
              <w:t>2018</w:t>
            </w:r>
          </w:p>
        </w:tc>
        <w:tc>
          <w:tcPr>
            <w:tcW w:w="846" w:type="dxa"/>
            <w:vAlign w:val="center"/>
          </w:tcPr>
          <w:p>
            <w:pPr>
              <w:jc w:val="center"/>
              <w:rPr>
                <w:rFonts w:hint="eastAsia" w:ascii="宋体" w:hAnsi="宋体" w:eastAsia="宋体" w:cs="宋体"/>
                <w:kern w:val="0"/>
                <w:szCs w:val="21"/>
              </w:rPr>
            </w:pPr>
            <w:r>
              <w:rPr>
                <w:rFonts w:ascii="宋体" w:hAnsi="宋体" w:eastAsia="宋体" w:cs="宋体"/>
                <w:kern w:val="0"/>
                <w:szCs w:val="21"/>
              </w:rPr>
              <w:t>12</w:t>
            </w:r>
          </w:p>
        </w:tc>
        <w:tc>
          <w:tcPr>
            <w:tcW w:w="988" w:type="dxa"/>
            <w:vAlign w:val="center"/>
          </w:tcPr>
          <w:p>
            <w:pPr>
              <w:jc w:val="center"/>
              <w:rPr>
                <w:rFonts w:hint="eastAsia" w:ascii="宋体" w:hAnsi="宋体" w:eastAsia="宋体" w:cs="宋体"/>
                <w:kern w:val="0"/>
                <w:szCs w:val="21"/>
              </w:rPr>
            </w:pPr>
            <w:r>
              <w:rPr>
                <w:rFonts w:ascii="宋体" w:hAnsi="宋体" w:eastAsia="宋体" w:cs="宋体"/>
                <w:kern w:val="0"/>
                <w:szCs w:val="21"/>
              </w:rPr>
              <w:t>智能运输标委会</w:t>
            </w:r>
          </w:p>
        </w:tc>
        <w:tc>
          <w:tcPr>
            <w:tcW w:w="2799" w:type="dxa"/>
            <w:vAlign w:val="center"/>
          </w:tcPr>
          <w:p>
            <w:pPr>
              <w:rPr>
                <w:rFonts w:hint="eastAsia" w:ascii="宋体" w:hAnsi="宋体" w:eastAsia="宋体" w:cs="宋体"/>
                <w:kern w:val="0"/>
                <w:szCs w:val="21"/>
              </w:rPr>
            </w:pPr>
            <w:r>
              <w:rPr>
                <w:rFonts w:ascii="宋体" w:hAnsi="宋体" w:eastAsia="宋体" w:cs="宋体"/>
                <w:kern w:val="0"/>
                <w:szCs w:val="21"/>
              </w:rPr>
              <w:t>交通运输部公路科学研究所、北京中交国通智能交通系统技术有限公司</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568" w:hRule="atLeast"/>
        </w:trPr>
        <w:tc>
          <w:tcPr>
            <w:tcW w:w="562" w:type="dxa"/>
            <w:vAlign w:val="center"/>
          </w:tcPr>
          <w:p>
            <w:pPr>
              <w:jc w:val="center"/>
              <w:rPr>
                <w:rFonts w:hint="eastAsia" w:ascii="宋体" w:hAnsi="宋体" w:eastAsia="宋体" w:cs="Times New Roman"/>
                <w:bCs/>
                <w:kern w:val="0"/>
                <w:szCs w:val="21"/>
              </w:rPr>
            </w:pPr>
            <w:r>
              <w:rPr>
                <w:rFonts w:hint="eastAsia" w:ascii="宋体" w:hAnsi="宋体" w:eastAsia="宋体" w:cs="Times New Roman"/>
                <w:bCs/>
                <w:kern w:val="0"/>
                <w:szCs w:val="21"/>
              </w:rPr>
              <w:t>15</w:t>
            </w:r>
          </w:p>
        </w:tc>
        <w:tc>
          <w:tcPr>
            <w:tcW w:w="1134" w:type="dxa"/>
            <w:vAlign w:val="center"/>
          </w:tcPr>
          <w:p>
            <w:pPr>
              <w:jc w:val="center"/>
              <w:rPr>
                <w:rFonts w:hint="eastAsia" w:ascii="宋体" w:hAnsi="宋体" w:eastAsia="宋体" w:cs="宋体"/>
                <w:color w:val="000000"/>
                <w:kern w:val="0"/>
                <w:szCs w:val="21"/>
              </w:rPr>
            </w:pPr>
            <w:r>
              <w:rPr>
                <w:rFonts w:hint="eastAsia" w:ascii="宋体" w:hAnsi="宋体" w:eastAsia="宋体"/>
                <w:kern w:val="0"/>
                <w:szCs w:val="21"/>
              </w:rPr>
              <w:t>JT 2024-15</w:t>
            </w:r>
          </w:p>
        </w:tc>
        <w:tc>
          <w:tcPr>
            <w:tcW w:w="1560" w:type="dxa"/>
            <w:vAlign w:val="center"/>
          </w:tcPr>
          <w:p>
            <w:pPr>
              <w:rPr>
                <w:rFonts w:hint="eastAsia" w:ascii="宋体" w:hAnsi="宋体" w:eastAsia="宋体" w:cs="Times New Roman"/>
                <w:kern w:val="0"/>
                <w:szCs w:val="21"/>
              </w:rPr>
            </w:pPr>
            <w:r>
              <w:rPr>
                <w:rFonts w:ascii="宋体" w:hAnsi="宋体" w:eastAsia="宋体" w:cs="Times New Roman"/>
                <w:kern w:val="0"/>
                <w:szCs w:val="21"/>
              </w:rPr>
              <w:t>智能运输系统  长距离单相供配电系统技术要求</w:t>
            </w:r>
          </w:p>
        </w:tc>
        <w:tc>
          <w:tcPr>
            <w:tcW w:w="5528" w:type="dxa"/>
            <w:vAlign w:val="center"/>
          </w:tcPr>
          <w:p>
            <w:pPr>
              <w:widowControl/>
              <w:rPr>
                <w:rFonts w:hint="eastAsia" w:ascii="宋体" w:hAnsi="宋体" w:eastAsia="宋体" w:cs="Times New Roman"/>
                <w:kern w:val="0"/>
                <w:szCs w:val="21"/>
              </w:rPr>
            </w:pPr>
            <w:r>
              <w:rPr>
                <w:rFonts w:ascii="宋体" w:hAnsi="宋体" w:eastAsia="宋体" w:cs="Times New Roman"/>
                <w:kern w:val="0"/>
                <w:szCs w:val="21"/>
              </w:rPr>
              <w:t>现行标准规定了智能运输系统长距离单相供配电系统的构成、功能要求，以及上位机、下位机、供电线缆和系统安全防护等技术要求</w:t>
            </w:r>
            <w:r>
              <w:rPr>
                <w:rFonts w:hint="eastAsia" w:ascii="宋体" w:hAnsi="宋体" w:eastAsia="宋体" w:cs="Times New Roman"/>
                <w:kern w:val="0"/>
                <w:szCs w:val="21"/>
              </w:rPr>
              <w:t>。</w:t>
            </w:r>
          </w:p>
          <w:p>
            <w:pPr>
              <w:widowControl/>
              <w:rPr>
                <w:rFonts w:hint="eastAsia" w:ascii="宋体" w:hAnsi="宋体" w:eastAsia="宋体" w:cs="Times New Roman"/>
                <w:kern w:val="0"/>
                <w:szCs w:val="21"/>
              </w:rPr>
            </w:pPr>
            <w:r>
              <w:rPr>
                <w:rFonts w:ascii="宋体" w:hAnsi="宋体" w:eastAsia="宋体" w:cs="Times New Roman"/>
                <w:kern w:val="0"/>
                <w:szCs w:val="21"/>
              </w:rPr>
              <w:t>适用于交通运输行业公路、城市道路智能运输系统中传感、通信、控制、服务、管理系统等的长距离单相供配电系统，铁路、民航、水运行业可参照使用。</w:t>
            </w:r>
          </w:p>
          <w:p>
            <w:pPr>
              <w:widowControl/>
              <w:rPr>
                <w:rFonts w:hint="eastAsia" w:ascii="宋体" w:hAnsi="宋体" w:eastAsia="宋体" w:cs="Times New Roman"/>
                <w:kern w:val="0"/>
                <w:szCs w:val="21"/>
              </w:rPr>
            </w:pPr>
            <w:r>
              <w:rPr>
                <w:rFonts w:ascii="宋体" w:hAnsi="宋体" w:eastAsia="宋体" w:cs="Times New Roman"/>
                <w:kern w:val="0"/>
                <w:szCs w:val="21"/>
              </w:rPr>
              <w:t>主要修订内容：对长距离供电系统的构成进行优化；完善长距离供电系统安全防护的相关规定；增加长距离供电系统运行状态监测。</w:t>
            </w:r>
          </w:p>
        </w:tc>
        <w:tc>
          <w:tcPr>
            <w:tcW w:w="709" w:type="dxa"/>
            <w:vAlign w:val="center"/>
          </w:tcPr>
          <w:p>
            <w:pPr>
              <w:jc w:val="center"/>
              <w:rPr>
                <w:rFonts w:hint="eastAsia" w:ascii="宋体" w:hAnsi="宋体" w:eastAsia="宋体" w:cs="宋体"/>
                <w:kern w:val="0"/>
                <w:szCs w:val="21"/>
              </w:rPr>
            </w:pPr>
            <w:r>
              <w:rPr>
                <w:rFonts w:ascii="宋体" w:hAnsi="宋体" w:eastAsia="宋体" w:cs="宋体"/>
                <w:kern w:val="0"/>
                <w:szCs w:val="21"/>
              </w:rPr>
              <w:t>修订</w:t>
            </w:r>
          </w:p>
        </w:tc>
        <w:tc>
          <w:tcPr>
            <w:tcW w:w="1121" w:type="dxa"/>
            <w:vAlign w:val="center"/>
          </w:tcPr>
          <w:p>
            <w:pPr>
              <w:jc w:val="center"/>
              <w:rPr>
                <w:rFonts w:hint="eastAsia" w:ascii="宋体" w:hAnsi="宋体" w:eastAsia="宋体" w:cs="宋体"/>
                <w:kern w:val="0"/>
                <w:szCs w:val="21"/>
              </w:rPr>
            </w:pPr>
            <w:r>
              <w:rPr>
                <w:rFonts w:ascii="宋体" w:hAnsi="宋体" w:eastAsia="宋体" w:cs="宋体"/>
                <w:kern w:val="0"/>
                <w:szCs w:val="21"/>
              </w:rPr>
              <w:t>JT/T 1229</w:t>
            </w:r>
            <w:r>
              <w:rPr>
                <w:rFonts w:hint="eastAsia" w:ascii="宋体" w:hAnsi="宋体" w:eastAsia="宋体" w:cs="宋体"/>
                <w:kern w:val="0"/>
                <w:szCs w:val="21"/>
              </w:rPr>
              <w:t>—</w:t>
            </w:r>
            <w:r>
              <w:rPr>
                <w:rFonts w:ascii="宋体" w:hAnsi="宋体" w:eastAsia="宋体" w:cs="宋体"/>
                <w:kern w:val="0"/>
                <w:szCs w:val="21"/>
              </w:rPr>
              <w:t>2018</w:t>
            </w:r>
          </w:p>
        </w:tc>
        <w:tc>
          <w:tcPr>
            <w:tcW w:w="846" w:type="dxa"/>
            <w:vAlign w:val="center"/>
          </w:tcPr>
          <w:p>
            <w:pPr>
              <w:jc w:val="center"/>
              <w:rPr>
                <w:rFonts w:hint="eastAsia" w:ascii="宋体" w:hAnsi="宋体" w:eastAsia="宋体" w:cs="宋体"/>
                <w:kern w:val="0"/>
                <w:szCs w:val="21"/>
              </w:rPr>
            </w:pPr>
            <w:r>
              <w:rPr>
                <w:rFonts w:ascii="宋体" w:hAnsi="宋体" w:eastAsia="宋体" w:cs="宋体"/>
                <w:kern w:val="0"/>
                <w:szCs w:val="21"/>
              </w:rPr>
              <w:t>12</w:t>
            </w:r>
          </w:p>
        </w:tc>
        <w:tc>
          <w:tcPr>
            <w:tcW w:w="988" w:type="dxa"/>
            <w:vAlign w:val="center"/>
          </w:tcPr>
          <w:p>
            <w:pPr>
              <w:jc w:val="center"/>
              <w:rPr>
                <w:rFonts w:hint="eastAsia" w:ascii="宋体" w:hAnsi="宋体" w:eastAsia="宋体" w:cs="宋体"/>
                <w:kern w:val="0"/>
                <w:szCs w:val="21"/>
              </w:rPr>
            </w:pPr>
            <w:r>
              <w:rPr>
                <w:rFonts w:ascii="宋体" w:hAnsi="宋体" w:eastAsia="宋体" w:cs="宋体"/>
                <w:kern w:val="0"/>
                <w:szCs w:val="21"/>
              </w:rPr>
              <w:t>智能运输标委会</w:t>
            </w:r>
          </w:p>
        </w:tc>
        <w:tc>
          <w:tcPr>
            <w:tcW w:w="2799" w:type="dxa"/>
            <w:vAlign w:val="center"/>
          </w:tcPr>
          <w:p>
            <w:pPr>
              <w:rPr>
                <w:rFonts w:hint="eastAsia" w:ascii="宋体" w:hAnsi="宋体" w:eastAsia="宋体" w:cs="宋体"/>
                <w:kern w:val="0"/>
                <w:szCs w:val="21"/>
              </w:rPr>
            </w:pPr>
            <w:r>
              <w:rPr>
                <w:rFonts w:ascii="宋体" w:hAnsi="宋体" w:eastAsia="宋体" w:cs="宋体"/>
                <w:kern w:val="0"/>
                <w:szCs w:val="21"/>
              </w:rPr>
              <w:t>交通运输部公路科学研究所、北京中交国通智能交通系统技术有限公司</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568" w:hRule="atLeast"/>
        </w:trPr>
        <w:tc>
          <w:tcPr>
            <w:tcW w:w="562" w:type="dxa"/>
            <w:vAlign w:val="center"/>
          </w:tcPr>
          <w:p>
            <w:pPr>
              <w:jc w:val="center"/>
              <w:rPr>
                <w:rFonts w:hint="eastAsia" w:ascii="宋体" w:hAnsi="宋体" w:eastAsia="宋体" w:cs="Times New Roman"/>
                <w:bCs/>
                <w:kern w:val="0"/>
                <w:szCs w:val="21"/>
              </w:rPr>
            </w:pPr>
            <w:r>
              <w:rPr>
                <w:rFonts w:hint="eastAsia" w:ascii="宋体" w:hAnsi="宋体" w:eastAsia="宋体" w:cs="Times New Roman"/>
                <w:bCs/>
                <w:kern w:val="0"/>
                <w:szCs w:val="21"/>
              </w:rPr>
              <w:t>16</w:t>
            </w:r>
          </w:p>
        </w:tc>
        <w:tc>
          <w:tcPr>
            <w:tcW w:w="1134" w:type="dxa"/>
            <w:vAlign w:val="center"/>
          </w:tcPr>
          <w:p>
            <w:pPr>
              <w:jc w:val="center"/>
              <w:rPr>
                <w:rFonts w:hint="eastAsia" w:ascii="宋体" w:hAnsi="宋体" w:eastAsia="宋体" w:cs="宋体"/>
                <w:color w:val="000000"/>
                <w:kern w:val="0"/>
                <w:szCs w:val="21"/>
              </w:rPr>
            </w:pPr>
            <w:r>
              <w:rPr>
                <w:rFonts w:hint="eastAsia" w:ascii="宋体" w:hAnsi="宋体" w:eastAsia="宋体"/>
                <w:kern w:val="0"/>
                <w:szCs w:val="21"/>
              </w:rPr>
              <w:t>JT 2024-16</w:t>
            </w:r>
          </w:p>
        </w:tc>
        <w:tc>
          <w:tcPr>
            <w:tcW w:w="1560" w:type="dxa"/>
            <w:vAlign w:val="center"/>
          </w:tcPr>
          <w:p>
            <w:pPr>
              <w:rPr>
                <w:rFonts w:hint="eastAsia" w:ascii="宋体" w:hAnsi="宋体" w:eastAsia="宋体" w:cs="Times New Roman"/>
                <w:kern w:val="0"/>
                <w:szCs w:val="21"/>
              </w:rPr>
            </w:pPr>
            <w:r>
              <w:rPr>
                <w:rFonts w:ascii="宋体" w:hAnsi="宋体" w:eastAsia="宋体" w:cs="Times New Roman"/>
                <w:kern w:val="0"/>
                <w:szCs w:val="21"/>
              </w:rPr>
              <w:t>抓斗起重机称重安全保护系统技术要求</w:t>
            </w:r>
          </w:p>
        </w:tc>
        <w:tc>
          <w:tcPr>
            <w:tcW w:w="5528" w:type="dxa"/>
            <w:vAlign w:val="center"/>
          </w:tcPr>
          <w:p>
            <w:pPr>
              <w:rPr>
                <w:rFonts w:hint="eastAsia" w:ascii="宋体" w:hAnsi="宋体" w:eastAsia="宋体" w:cs="Times New Roman"/>
                <w:kern w:val="0"/>
                <w:szCs w:val="21"/>
              </w:rPr>
            </w:pPr>
            <w:r>
              <w:rPr>
                <w:rFonts w:ascii="宋体" w:hAnsi="宋体" w:eastAsia="宋体" w:cs="Times New Roman"/>
                <w:kern w:val="0"/>
                <w:szCs w:val="21"/>
              </w:rPr>
              <w:t>拟规定抓斗起重机称重安全保护系统的系统构成、技术要求和性能要求。</w:t>
            </w:r>
          </w:p>
          <w:p>
            <w:pPr>
              <w:rPr>
                <w:rFonts w:hint="eastAsia" w:ascii="宋体" w:hAnsi="宋体" w:eastAsia="宋体" w:cs="Times New Roman"/>
                <w:kern w:val="0"/>
                <w:szCs w:val="21"/>
              </w:rPr>
            </w:pPr>
            <w:r>
              <w:rPr>
                <w:rFonts w:ascii="宋体" w:hAnsi="宋体" w:eastAsia="宋体" w:cs="Times New Roman"/>
                <w:kern w:val="0"/>
                <w:szCs w:val="21"/>
              </w:rPr>
              <w:t>适用于通用桥式起重机、通用门式起重机、桥式抓斗卸船机、门座起重机、高塔柱起重机、固定式起重机等使用抓斗的起重机以连续的模拟电流或电压信号为测量信号的称重安全保护系统。</w:t>
            </w:r>
          </w:p>
        </w:tc>
        <w:tc>
          <w:tcPr>
            <w:tcW w:w="709" w:type="dxa"/>
            <w:vAlign w:val="center"/>
          </w:tcPr>
          <w:p>
            <w:pPr>
              <w:jc w:val="center"/>
              <w:rPr>
                <w:rFonts w:hint="eastAsia" w:ascii="宋体" w:hAnsi="宋体" w:eastAsia="宋体" w:cs="宋体"/>
                <w:kern w:val="0"/>
                <w:szCs w:val="21"/>
              </w:rPr>
            </w:pPr>
            <w:r>
              <w:rPr>
                <w:rFonts w:hint="eastAsia" w:ascii="宋体" w:hAnsi="宋体" w:eastAsia="宋体" w:cs="宋体"/>
                <w:kern w:val="0"/>
                <w:szCs w:val="21"/>
              </w:rPr>
              <w:t>制定</w:t>
            </w:r>
          </w:p>
        </w:tc>
        <w:tc>
          <w:tcPr>
            <w:tcW w:w="1121" w:type="dxa"/>
            <w:vAlign w:val="center"/>
          </w:tcPr>
          <w:p>
            <w:pPr>
              <w:jc w:val="center"/>
              <w:rPr>
                <w:rFonts w:hint="eastAsia" w:ascii="宋体" w:hAnsi="宋体" w:eastAsia="宋体" w:cs="宋体"/>
                <w:kern w:val="0"/>
                <w:szCs w:val="21"/>
              </w:rPr>
            </w:pPr>
          </w:p>
        </w:tc>
        <w:tc>
          <w:tcPr>
            <w:tcW w:w="846" w:type="dxa"/>
            <w:vAlign w:val="center"/>
          </w:tcPr>
          <w:p>
            <w:pPr>
              <w:jc w:val="center"/>
              <w:rPr>
                <w:rFonts w:hint="eastAsia" w:ascii="宋体" w:hAnsi="宋体" w:eastAsia="宋体" w:cs="宋体"/>
                <w:kern w:val="0"/>
                <w:szCs w:val="21"/>
              </w:rPr>
            </w:pPr>
            <w:r>
              <w:rPr>
                <w:rFonts w:ascii="宋体" w:hAnsi="宋体" w:eastAsia="宋体" w:cs="宋体"/>
                <w:kern w:val="0"/>
                <w:szCs w:val="21"/>
              </w:rPr>
              <w:t>12</w:t>
            </w:r>
          </w:p>
        </w:tc>
        <w:tc>
          <w:tcPr>
            <w:tcW w:w="988" w:type="dxa"/>
            <w:vAlign w:val="center"/>
          </w:tcPr>
          <w:p>
            <w:pPr>
              <w:jc w:val="center"/>
              <w:rPr>
                <w:rFonts w:hint="eastAsia" w:ascii="宋体" w:hAnsi="宋体" w:eastAsia="宋体" w:cs="宋体"/>
                <w:kern w:val="0"/>
                <w:szCs w:val="21"/>
              </w:rPr>
            </w:pPr>
            <w:r>
              <w:rPr>
                <w:rFonts w:ascii="宋体" w:hAnsi="宋体" w:eastAsia="宋体" w:cs="宋体"/>
                <w:kern w:val="0"/>
                <w:szCs w:val="21"/>
              </w:rPr>
              <w:t>臂架起重机分委会</w:t>
            </w:r>
          </w:p>
        </w:tc>
        <w:tc>
          <w:tcPr>
            <w:tcW w:w="2799" w:type="dxa"/>
            <w:vAlign w:val="center"/>
          </w:tcPr>
          <w:p>
            <w:pPr>
              <w:rPr>
                <w:rFonts w:hint="eastAsia" w:ascii="宋体" w:hAnsi="宋体" w:eastAsia="宋体" w:cs="宋体"/>
                <w:kern w:val="0"/>
                <w:szCs w:val="21"/>
              </w:rPr>
            </w:pPr>
            <w:r>
              <w:rPr>
                <w:rFonts w:ascii="宋体" w:hAnsi="宋体" w:eastAsia="宋体" w:cs="宋体"/>
                <w:kern w:val="0"/>
                <w:szCs w:val="21"/>
              </w:rPr>
              <w:t>交通运输部水运科学研究所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568" w:hRule="atLeast"/>
        </w:trPr>
        <w:tc>
          <w:tcPr>
            <w:tcW w:w="562" w:type="dxa"/>
            <w:vAlign w:val="center"/>
          </w:tcPr>
          <w:p>
            <w:pPr>
              <w:jc w:val="center"/>
              <w:rPr>
                <w:rFonts w:hint="eastAsia" w:ascii="宋体" w:hAnsi="宋体" w:eastAsia="宋体" w:cs="Times New Roman"/>
                <w:bCs/>
                <w:kern w:val="0"/>
                <w:szCs w:val="21"/>
              </w:rPr>
            </w:pPr>
            <w:r>
              <w:rPr>
                <w:rFonts w:hint="eastAsia" w:ascii="宋体" w:hAnsi="宋体" w:eastAsia="宋体" w:cs="Times New Roman"/>
                <w:bCs/>
                <w:kern w:val="0"/>
                <w:szCs w:val="21"/>
              </w:rPr>
              <w:t>17</w:t>
            </w:r>
          </w:p>
        </w:tc>
        <w:tc>
          <w:tcPr>
            <w:tcW w:w="1134" w:type="dxa"/>
            <w:vAlign w:val="center"/>
          </w:tcPr>
          <w:p>
            <w:pPr>
              <w:jc w:val="center"/>
              <w:rPr>
                <w:rFonts w:hint="eastAsia" w:ascii="宋体" w:hAnsi="宋体" w:eastAsia="宋体" w:cs="宋体"/>
                <w:color w:val="000000"/>
                <w:kern w:val="0"/>
                <w:szCs w:val="21"/>
              </w:rPr>
            </w:pPr>
            <w:r>
              <w:rPr>
                <w:rFonts w:hint="eastAsia" w:ascii="宋体" w:hAnsi="宋体" w:eastAsia="宋体"/>
                <w:kern w:val="0"/>
                <w:szCs w:val="21"/>
              </w:rPr>
              <w:t>JT 2024-17</w:t>
            </w:r>
          </w:p>
        </w:tc>
        <w:tc>
          <w:tcPr>
            <w:tcW w:w="1560" w:type="dxa"/>
            <w:vAlign w:val="center"/>
          </w:tcPr>
          <w:p>
            <w:pPr>
              <w:rPr>
                <w:rFonts w:hint="eastAsia" w:ascii="宋体" w:hAnsi="宋体" w:eastAsia="宋体" w:cs="Times New Roman"/>
                <w:kern w:val="0"/>
                <w:szCs w:val="21"/>
              </w:rPr>
            </w:pPr>
            <w:r>
              <w:rPr>
                <w:rFonts w:ascii="宋体" w:hAnsi="宋体" w:eastAsia="宋体" w:cs="Times New Roman"/>
                <w:kern w:val="0"/>
                <w:szCs w:val="21"/>
              </w:rPr>
              <w:t>港口岸电电缆臂架式提送机</w:t>
            </w:r>
          </w:p>
        </w:tc>
        <w:tc>
          <w:tcPr>
            <w:tcW w:w="5528" w:type="dxa"/>
            <w:vAlign w:val="center"/>
          </w:tcPr>
          <w:p>
            <w:pPr>
              <w:rPr>
                <w:rFonts w:hint="eastAsia" w:ascii="宋体" w:hAnsi="宋体" w:eastAsia="宋体" w:cs="Times New Roman"/>
                <w:kern w:val="0"/>
                <w:szCs w:val="21"/>
              </w:rPr>
            </w:pPr>
            <w:r>
              <w:rPr>
                <w:rFonts w:ascii="宋体" w:hAnsi="宋体" w:eastAsia="宋体" w:cs="Times New Roman"/>
                <w:kern w:val="0"/>
                <w:szCs w:val="21"/>
              </w:rPr>
              <w:t>拟规定港口岸电电缆臂架提送机的产品分类、组成、基本参数和型号，技术要求，试验方法，检验规则，以及标志、包装、运输和贮存。</w:t>
            </w:r>
          </w:p>
          <w:p>
            <w:pPr>
              <w:rPr>
                <w:rFonts w:hint="eastAsia" w:ascii="宋体" w:hAnsi="宋体" w:eastAsia="宋体" w:cs="Times New Roman"/>
                <w:kern w:val="0"/>
                <w:szCs w:val="21"/>
              </w:rPr>
            </w:pPr>
            <w:r>
              <w:rPr>
                <w:rFonts w:ascii="宋体" w:hAnsi="宋体" w:eastAsia="宋体" w:cs="Times New Roman"/>
                <w:kern w:val="0"/>
                <w:szCs w:val="21"/>
              </w:rPr>
              <w:t>适用于船舶岸基供电的港口岸电电缆臂架式提送机。</w:t>
            </w:r>
          </w:p>
        </w:tc>
        <w:tc>
          <w:tcPr>
            <w:tcW w:w="709" w:type="dxa"/>
            <w:vAlign w:val="center"/>
          </w:tcPr>
          <w:p>
            <w:pPr>
              <w:jc w:val="center"/>
              <w:rPr>
                <w:rFonts w:hint="eastAsia" w:ascii="宋体" w:hAnsi="宋体" w:eastAsia="宋体" w:cs="宋体"/>
                <w:kern w:val="0"/>
                <w:szCs w:val="21"/>
              </w:rPr>
            </w:pPr>
            <w:r>
              <w:rPr>
                <w:rFonts w:hint="eastAsia" w:ascii="宋体" w:hAnsi="宋体" w:eastAsia="宋体" w:cs="宋体"/>
                <w:kern w:val="0"/>
                <w:szCs w:val="21"/>
              </w:rPr>
              <w:t>制定</w:t>
            </w:r>
          </w:p>
        </w:tc>
        <w:tc>
          <w:tcPr>
            <w:tcW w:w="1121" w:type="dxa"/>
            <w:vAlign w:val="center"/>
          </w:tcPr>
          <w:p>
            <w:pPr>
              <w:jc w:val="center"/>
              <w:rPr>
                <w:rFonts w:hint="eastAsia" w:ascii="宋体" w:hAnsi="宋体" w:eastAsia="宋体" w:cs="宋体"/>
                <w:kern w:val="0"/>
                <w:szCs w:val="21"/>
              </w:rPr>
            </w:pPr>
          </w:p>
        </w:tc>
        <w:tc>
          <w:tcPr>
            <w:tcW w:w="846" w:type="dxa"/>
            <w:vAlign w:val="center"/>
          </w:tcPr>
          <w:p>
            <w:pPr>
              <w:jc w:val="center"/>
              <w:rPr>
                <w:rFonts w:hint="eastAsia" w:ascii="宋体" w:hAnsi="宋体" w:eastAsia="宋体" w:cs="宋体"/>
                <w:kern w:val="0"/>
                <w:szCs w:val="21"/>
              </w:rPr>
            </w:pPr>
            <w:r>
              <w:rPr>
                <w:rFonts w:ascii="宋体" w:hAnsi="宋体" w:eastAsia="宋体" w:cs="宋体"/>
                <w:kern w:val="0"/>
                <w:szCs w:val="21"/>
              </w:rPr>
              <w:t>12</w:t>
            </w:r>
          </w:p>
        </w:tc>
        <w:tc>
          <w:tcPr>
            <w:tcW w:w="988" w:type="dxa"/>
            <w:vAlign w:val="center"/>
          </w:tcPr>
          <w:p>
            <w:pPr>
              <w:jc w:val="center"/>
              <w:rPr>
                <w:rFonts w:hint="eastAsia" w:ascii="宋体" w:hAnsi="宋体" w:eastAsia="宋体" w:cs="宋体"/>
                <w:kern w:val="0"/>
                <w:szCs w:val="21"/>
              </w:rPr>
            </w:pPr>
            <w:r>
              <w:rPr>
                <w:rFonts w:ascii="宋体" w:hAnsi="宋体" w:eastAsia="宋体" w:cs="宋体"/>
                <w:kern w:val="0"/>
                <w:szCs w:val="21"/>
              </w:rPr>
              <w:t>臂架起重机分委会</w:t>
            </w:r>
          </w:p>
        </w:tc>
        <w:tc>
          <w:tcPr>
            <w:tcW w:w="2799" w:type="dxa"/>
            <w:vAlign w:val="center"/>
          </w:tcPr>
          <w:p>
            <w:pPr>
              <w:rPr>
                <w:rFonts w:hint="eastAsia" w:ascii="宋体" w:hAnsi="宋体" w:eastAsia="宋体" w:cs="宋体"/>
                <w:kern w:val="0"/>
                <w:szCs w:val="21"/>
              </w:rPr>
            </w:pPr>
            <w:r>
              <w:rPr>
                <w:rFonts w:ascii="宋体" w:hAnsi="宋体" w:eastAsia="宋体" w:cs="宋体"/>
                <w:kern w:val="0"/>
                <w:szCs w:val="21"/>
              </w:rPr>
              <w:t>交通运输部水运科学研究所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568" w:hRule="atLeast"/>
        </w:trPr>
        <w:tc>
          <w:tcPr>
            <w:tcW w:w="562" w:type="dxa"/>
            <w:vAlign w:val="center"/>
          </w:tcPr>
          <w:p>
            <w:pPr>
              <w:jc w:val="center"/>
              <w:rPr>
                <w:rFonts w:hint="eastAsia" w:ascii="宋体" w:hAnsi="宋体" w:eastAsia="宋体" w:cs="Times New Roman"/>
                <w:bCs/>
                <w:kern w:val="0"/>
                <w:szCs w:val="21"/>
              </w:rPr>
            </w:pPr>
            <w:r>
              <w:rPr>
                <w:rFonts w:hint="eastAsia" w:ascii="宋体" w:hAnsi="宋体" w:eastAsia="宋体" w:cs="Times New Roman"/>
                <w:bCs/>
                <w:kern w:val="0"/>
                <w:szCs w:val="21"/>
              </w:rPr>
              <w:t>18</w:t>
            </w:r>
          </w:p>
        </w:tc>
        <w:tc>
          <w:tcPr>
            <w:tcW w:w="1134" w:type="dxa"/>
            <w:vAlign w:val="center"/>
          </w:tcPr>
          <w:p>
            <w:pPr>
              <w:jc w:val="center"/>
              <w:rPr>
                <w:rFonts w:hint="eastAsia" w:ascii="宋体" w:hAnsi="宋体" w:eastAsia="宋体" w:cs="宋体"/>
                <w:color w:val="000000"/>
                <w:kern w:val="0"/>
                <w:szCs w:val="21"/>
              </w:rPr>
            </w:pPr>
            <w:r>
              <w:rPr>
                <w:rFonts w:hint="eastAsia" w:ascii="宋体" w:hAnsi="宋体" w:eastAsia="宋体"/>
                <w:kern w:val="0"/>
                <w:szCs w:val="21"/>
              </w:rPr>
              <w:t>JT 2024-</w:t>
            </w:r>
            <w:r>
              <w:rPr>
                <w:rFonts w:hint="eastAsia" w:ascii="宋体" w:hAnsi="宋体" w:eastAsia="宋体" w:cs="Times New Roman"/>
                <w:bCs/>
                <w:kern w:val="0"/>
                <w:szCs w:val="21"/>
              </w:rPr>
              <w:t>18</w:t>
            </w:r>
          </w:p>
        </w:tc>
        <w:tc>
          <w:tcPr>
            <w:tcW w:w="1560" w:type="dxa"/>
            <w:vAlign w:val="center"/>
          </w:tcPr>
          <w:p>
            <w:pPr>
              <w:rPr>
                <w:rFonts w:hint="eastAsia" w:ascii="宋体" w:hAnsi="宋体" w:eastAsia="宋体" w:cs="Times New Roman"/>
                <w:kern w:val="0"/>
                <w:szCs w:val="21"/>
              </w:rPr>
            </w:pPr>
            <w:r>
              <w:rPr>
                <w:rFonts w:ascii="宋体" w:hAnsi="宋体" w:eastAsia="宋体" w:cs="Times New Roman"/>
                <w:kern w:val="0"/>
                <w:szCs w:val="21"/>
              </w:rPr>
              <w:t>海上安全通信系统接口规范</w:t>
            </w:r>
          </w:p>
        </w:tc>
        <w:tc>
          <w:tcPr>
            <w:tcW w:w="5528" w:type="dxa"/>
            <w:vAlign w:val="center"/>
          </w:tcPr>
          <w:p>
            <w:pPr>
              <w:rPr>
                <w:rFonts w:hint="eastAsia" w:ascii="宋体" w:hAnsi="宋体" w:eastAsia="宋体" w:cs="Times New Roman"/>
                <w:kern w:val="0"/>
                <w:szCs w:val="21"/>
              </w:rPr>
            </w:pPr>
            <w:r>
              <w:rPr>
                <w:rFonts w:ascii="宋体" w:hAnsi="宋体" w:eastAsia="宋体" w:cs="Times New Roman"/>
                <w:kern w:val="0"/>
                <w:szCs w:val="21"/>
              </w:rPr>
              <w:t>拟规定海上安全通信系统接口的总体要求，以及数字选择呼叫、奈伏泰斯系统、气象传真、单边带、甚高频等海上安全通信业务的接口要求、编码规则和交互协议规则。</w:t>
            </w:r>
          </w:p>
          <w:p>
            <w:pPr>
              <w:rPr>
                <w:rFonts w:hint="eastAsia" w:ascii="宋体" w:hAnsi="宋体" w:eastAsia="宋体" w:cs="Times New Roman"/>
                <w:kern w:val="0"/>
                <w:szCs w:val="21"/>
              </w:rPr>
            </w:pPr>
            <w:r>
              <w:rPr>
                <w:rFonts w:ascii="宋体" w:hAnsi="宋体" w:eastAsia="宋体" w:cs="Times New Roman"/>
                <w:kern w:val="0"/>
                <w:szCs w:val="21"/>
              </w:rPr>
              <w:t>适用于利用中频、高频、甚高频通信系统开展的数字选择呼叫、奈伏泰斯系统、气象传真、单边带、甚高频等海上安全通信业务控制系统的设计、开发及集成。</w:t>
            </w:r>
          </w:p>
        </w:tc>
        <w:tc>
          <w:tcPr>
            <w:tcW w:w="709" w:type="dxa"/>
            <w:vAlign w:val="center"/>
          </w:tcPr>
          <w:p>
            <w:pPr>
              <w:jc w:val="center"/>
              <w:rPr>
                <w:rFonts w:hint="eastAsia" w:ascii="宋体" w:hAnsi="宋体" w:eastAsia="宋体" w:cs="宋体"/>
                <w:kern w:val="0"/>
                <w:szCs w:val="21"/>
              </w:rPr>
            </w:pPr>
            <w:r>
              <w:rPr>
                <w:rFonts w:hint="eastAsia" w:ascii="宋体" w:hAnsi="宋体" w:eastAsia="宋体" w:cs="宋体"/>
                <w:kern w:val="0"/>
                <w:szCs w:val="21"/>
              </w:rPr>
              <w:t>制定</w:t>
            </w:r>
          </w:p>
        </w:tc>
        <w:tc>
          <w:tcPr>
            <w:tcW w:w="1121" w:type="dxa"/>
            <w:vAlign w:val="center"/>
          </w:tcPr>
          <w:p>
            <w:pPr>
              <w:jc w:val="center"/>
              <w:rPr>
                <w:rFonts w:hint="eastAsia" w:ascii="宋体" w:hAnsi="宋体" w:eastAsia="宋体" w:cs="宋体"/>
                <w:kern w:val="0"/>
                <w:szCs w:val="21"/>
              </w:rPr>
            </w:pPr>
          </w:p>
        </w:tc>
        <w:tc>
          <w:tcPr>
            <w:tcW w:w="846" w:type="dxa"/>
            <w:vAlign w:val="center"/>
          </w:tcPr>
          <w:p>
            <w:pPr>
              <w:jc w:val="center"/>
              <w:rPr>
                <w:rFonts w:hint="eastAsia" w:ascii="宋体" w:hAnsi="宋体" w:eastAsia="宋体" w:cs="宋体"/>
                <w:kern w:val="0"/>
                <w:szCs w:val="21"/>
              </w:rPr>
            </w:pPr>
            <w:r>
              <w:rPr>
                <w:rFonts w:ascii="宋体" w:hAnsi="宋体" w:eastAsia="宋体" w:cs="宋体"/>
                <w:kern w:val="0"/>
                <w:szCs w:val="21"/>
              </w:rPr>
              <w:t>12</w:t>
            </w:r>
          </w:p>
        </w:tc>
        <w:tc>
          <w:tcPr>
            <w:tcW w:w="988" w:type="dxa"/>
            <w:vAlign w:val="center"/>
          </w:tcPr>
          <w:p>
            <w:pPr>
              <w:jc w:val="center"/>
              <w:rPr>
                <w:rFonts w:hint="eastAsia" w:ascii="宋体" w:hAnsi="宋体" w:eastAsia="宋体" w:cs="宋体"/>
                <w:kern w:val="0"/>
                <w:szCs w:val="21"/>
              </w:rPr>
            </w:pPr>
            <w:r>
              <w:rPr>
                <w:rFonts w:ascii="宋体" w:hAnsi="宋体" w:eastAsia="宋体" w:cs="宋体"/>
                <w:kern w:val="0"/>
                <w:szCs w:val="21"/>
              </w:rPr>
              <w:t>航测标委会</w:t>
            </w:r>
          </w:p>
        </w:tc>
        <w:tc>
          <w:tcPr>
            <w:tcW w:w="2799" w:type="dxa"/>
            <w:vAlign w:val="center"/>
          </w:tcPr>
          <w:p>
            <w:pPr>
              <w:rPr>
                <w:rFonts w:hint="eastAsia" w:ascii="宋体" w:hAnsi="宋体" w:eastAsia="宋体" w:cs="宋体"/>
                <w:kern w:val="0"/>
                <w:szCs w:val="21"/>
              </w:rPr>
            </w:pPr>
            <w:r>
              <w:rPr>
                <w:rFonts w:ascii="宋体" w:hAnsi="宋体" w:eastAsia="宋体" w:cs="宋体"/>
                <w:kern w:val="0"/>
                <w:szCs w:val="21"/>
              </w:rPr>
              <w:t>交通运输部规划研究院、交通运输部北海航海保障中心、南京海善达信息科技有限公司</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568" w:hRule="atLeast"/>
        </w:trPr>
        <w:tc>
          <w:tcPr>
            <w:tcW w:w="562" w:type="dxa"/>
            <w:vAlign w:val="center"/>
          </w:tcPr>
          <w:p>
            <w:pPr>
              <w:jc w:val="center"/>
              <w:rPr>
                <w:rFonts w:hint="eastAsia" w:ascii="宋体" w:hAnsi="宋体" w:eastAsia="宋体" w:cs="Times New Roman"/>
                <w:bCs/>
                <w:kern w:val="0"/>
                <w:szCs w:val="21"/>
              </w:rPr>
            </w:pPr>
            <w:r>
              <w:rPr>
                <w:rFonts w:hint="eastAsia" w:ascii="宋体" w:hAnsi="宋体" w:eastAsia="宋体" w:cs="Times New Roman"/>
                <w:bCs/>
                <w:kern w:val="0"/>
                <w:szCs w:val="21"/>
              </w:rPr>
              <w:t>19</w:t>
            </w:r>
          </w:p>
        </w:tc>
        <w:tc>
          <w:tcPr>
            <w:tcW w:w="1134" w:type="dxa"/>
            <w:vAlign w:val="center"/>
          </w:tcPr>
          <w:p>
            <w:pPr>
              <w:jc w:val="center"/>
              <w:rPr>
                <w:rFonts w:hint="eastAsia" w:ascii="宋体" w:hAnsi="宋体" w:eastAsia="宋体" w:cs="宋体"/>
                <w:color w:val="000000"/>
                <w:kern w:val="0"/>
                <w:szCs w:val="21"/>
              </w:rPr>
            </w:pPr>
            <w:r>
              <w:rPr>
                <w:rFonts w:hint="eastAsia" w:ascii="宋体" w:hAnsi="宋体" w:eastAsia="宋体"/>
                <w:kern w:val="0"/>
                <w:szCs w:val="21"/>
              </w:rPr>
              <w:t>JT 2024-19</w:t>
            </w:r>
          </w:p>
        </w:tc>
        <w:tc>
          <w:tcPr>
            <w:tcW w:w="1560" w:type="dxa"/>
            <w:vAlign w:val="center"/>
          </w:tcPr>
          <w:p>
            <w:pPr>
              <w:rPr>
                <w:rFonts w:hint="eastAsia" w:ascii="宋体" w:hAnsi="宋体" w:eastAsia="宋体" w:cs="Times New Roman"/>
                <w:kern w:val="0"/>
                <w:szCs w:val="21"/>
              </w:rPr>
            </w:pPr>
            <w:r>
              <w:rPr>
                <w:rFonts w:ascii="宋体" w:hAnsi="宋体" w:eastAsia="宋体" w:cs="Times New Roman"/>
                <w:kern w:val="0"/>
                <w:szCs w:val="21"/>
              </w:rPr>
              <w:t>沿海港口航道数字航海产品交换数据集格式 第1部分：水位数据</w:t>
            </w:r>
          </w:p>
        </w:tc>
        <w:tc>
          <w:tcPr>
            <w:tcW w:w="5528" w:type="dxa"/>
            <w:vAlign w:val="center"/>
          </w:tcPr>
          <w:p>
            <w:pPr>
              <w:rPr>
                <w:rFonts w:hint="eastAsia" w:ascii="宋体" w:hAnsi="宋体" w:eastAsia="宋体" w:cs="Times New Roman"/>
                <w:kern w:val="0"/>
                <w:szCs w:val="21"/>
              </w:rPr>
            </w:pPr>
            <w:r>
              <w:rPr>
                <w:rFonts w:ascii="宋体" w:hAnsi="宋体" w:eastAsia="宋体" w:cs="Times New Roman"/>
                <w:kern w:val="0"/>
                <w:szCs w:val="21"/>
              </w:rPr>
              <w:t>拟规定沿海港口航道数字航海产品序列中水位数据产品的数据内容和结构、坐标参考系统、数据质量、数据采集、分类与编码、图示表达、产品格式、数据传输、元数据等技术要求。</w:t>
            </w:r>
          </w:p>
          <w:p>
            <w:pPr>
              <w:rPr>
                <w:rFonts w:hint="eastAsia" w:ascii="宋体" w:hAnsi="宋体" w:eastAsia="宋体" w:cs="Times New Roman"/>
                <w:kern w:val="0"/>
                <w:szCs w:val="21"/>
              </w:rPr>
            </w:pPr>
            <w:r>
              <w:rPr>
                <w:rFonts w:ascii="宋体" w:hAnsi="宋体" w:eastAsia="宋体" w:cs="Times New Roman"/>
                <w:kern w:val="0"/>
                <w:szCs w:val="21"/>
              </w:rPr>
              <w:t>适用于沿海港口航道数字航海水位数据产品的生产、处理、交换、显示和应用，数字航海水位数据产品生产系统、发布系统与应用系统的设计研发参考使用。</w:t>
            </w:r>
          </w:p>
        </w:tc>
        <w:tc>
          <w:tcPr>
            <w:tcW w:w="709" w:type="dxa"/>
            <w:vAlign w:val="center"/>
          </w:tcPr>
          <w:p>
            <w:pPr>
              <w:jc w:val="center"/>
              <w:rPr>
                <w:rFonts w:hint="eastAsia" w:ascii="宋体" w:hAnsi="宋体" w:eastAsia="宋体" w:cs="宋体"/>
                <w:kern w:val="0"/>
                <w:szCs w:val="21"/>
              </w:rPr>
            </w:pPr>
            <w:r>
              <w:rPr>
                <w:rFonts w:hint="eastAsia" w:ascii="宋体" w:hAnsi="宋体" w:eastAsia="宋体" w:cs="宋体"/>
                <w:kern w:val="0"/>
                <w:szCs w:val="21"/>
              </w:rPr>
              <w:t>制定</w:t>
            </w:r>
          </w:p>
        </w:tc>
        <w:tc>
          <w:tcPr>
            <w:tcW w:w="1121" w:type="dxa"/>
            <w:vAlign w:val="center"/>
          </w:tcPr>
          <w:p>
            <w:pPr>
              <w:jc w:val="center"/>
              <w:rPr>
                <w:rFonts w:hint="eastAsia" w:ascii="宋体" w:hAnsi="宋体" w:eastAsia="宋体" w:cs="宋体"/>
                <w:kern w:val="0"/>
                <w:szCs w:val="21"/>
              </w:rPr>
            </w:pPr>
          </w:p>
        </w:tc>
        <w:tc>
          <w:tcPr>
            <w:tcW w:w="846" w:type="dxa"/>
            <w:vAlign w:val="center"/>
          </w:tcPr>
          <w:p>
            <w:pPr>
              <w:jc w:val="center"/>
              <w:rPr>
                <w:rFonts w:hint="eastAsia" w:ascii="宋体" w:hAnsi="宋体" w:eastAsia="宋体" w:cs="宋体"/>
                <w:kern w:val="0"/>
                <w:szCs w:val="21"/>
              </w:rPr>
            </w:pPr>
            <w:r>
              <w:rPr>
                <w:rFonts w:ascii="宋体" w:hAnsi="宋体" w:eastAsia="宋体" w:cs="宋体"/>
                <w:kern w:val="0"/>
                <w:szCs w:val="21"/>
              </w:rPr>
              <w:t>12</w:t>
            </w:r>
          </w:p>
        </w:tc>
        <w:tc>
          <w:tcPr>
            <w:tcW w:w="988" w:type="dxa"/>
            <w:vAlign w:val="center"/>
          </w:tcPr>
          <w:p>
            <w:pPr>
              <w:jc w:val="center"/>
              <w:rPr>
                <w:rFonts w:hint="eastAsia" w:ascii="宋体" w:hAnsi="宋体" w:eastAsia="宋体" w:cs="宋体"/>
                <w:kern w:val="0"/>
                <w:szCs w:val="21"/>
              </w:rPr>
            </w:pPr>
            <w:r>
              <w:rPr>
                <w:rFonts w:ascii="宋体" w:hAnsi="宋体" w:eastAsia="宋体" w:cs="宋体"/>
                <w:kern w:val="0"/>
                <w:szCs w:val="21"/>
              </w:rPr>
              <w:t>航测标委会</w:t>
            </w:r>
          </w:p>
        </w:tc>
        <w:tc>
          <w:tcPr>
            <w:tcW w:w="2799" w:type="dxa"/>
            <w:vAlign w:val="center"/>
          </w:tcPr>
          <w:p>
            <w:pPr>
              <w:rPr>
                <w:rFonts w:hint="eastAsia" w:ascii="宋体" w:hAnsi="宋体" w:eastAsia="宋体" w:cs="宋体"/>
                <w:kern w:val="0"/>
                <w:szCs w:val="21"/>
              </w:rPr>
            </w:pPr>
            <w:r>
              <w:rPr>
                <w:rFonts w:ascii="宋体" w:hAnsi="宋体" w:eastAsia="宋体" w:cs="宋体"/>
                <w:kern w:val="0"/>
                <w:szCs w:val="21"/>
              </w:rPr>
              <w:t>交通运输部东海航海保障中心、交通运输部水运科学研究所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568" w:hRule="atLeast"/>
        </w:trPr>
        <w:tc>
          <w:tcPr>
            <w:tcW w:w="562" w:type="dxa"/>
            <w:vAlign w:val="center"/>
          </w:tcPr>
          <w:p>
            <w:pPr>
              <w:jc w:val="center"/>
              <w:rPr>
                <w:rFonts w:hint="eastAsia" w:ascii="宋体" w:hAnsi="宋体" w:eastAsia="宋体" w:cs="Times New Roman"/>
                <w:bCs/>
                <w:kern w:val="0"/>
                <w:szCs w:val="21"/>
              </w:rPr>
            </w:pPr>
            <w:r>
              <w:rPr>
                <w:rFonts w:hint="eastAsia" w:ascii="宋体" w:hAnsi="宋体" w:eastAsia="宋体" w:cs="Times New Roman"/>
                <w:bCs/>
                <w:kern w:val="0"/>
                <w:szCs w:val="21"/>
              </w:rPr>
              <w:t>20</w:t>
            </w:r>
          </w:p>
        </w:tc>
        <w:tc>
          <w:tcPr>
            <w:tcW w:w="1134" w:type="dxa"/>
            <w:vAlign w:val="center"/>
          </w:tcPr>
          <w:p>
            <w:pPr>
              <w:jc w:val="center"/>
              <w:rPr>
                <w:rFonts w:hint="eastAsia" w:ascii="宋体" w:hAnsi="宋体" w:eastAsia="宋体" w:cs="宋体"/>
                <w:color w:val="000000"/>
                <w:kern w:val="0"/>
                <w:szCs w:val="21"/>
              </w:rPr>
            </w:pPr>
            <w:r>
              <w:rPr>
                <w:rFonts w:hint="eastAsia" w:ascii="宋体" w:hAnsi="宋体" w:eastAsia="宋体"/>
                <w:kern w:val="0"/>
                <w:szCs w:val="21"/>
              </w:rPr>
              <w:t>JT 2024-20</w:t>
            </w:r>
          </w:p>
        </w:tc>
        <w:tc>
          <w:tcPr>
            <w:tcW w:w="1560" w:type="dxa"/>
            <w:vAlign w:val="center"/>
          </w:tcPr>
          <w:p>
            <w:pPr>
              <w:rPr>
                <w:rFonts w:hint="eastAsia" w:ascii="宋体" w:hAnsi="宋体" w:eastAsia="宋体" w:cs="Times New Roman"/>
                <w:kern w:val="0"/>
                <w:szCs w:val="21"/>
              </w:rPr>
            </w:pPr>
            <w:r>
              <w:rPr>
                <w:rFonts w:ascii="宋体" w:hAnsi="宋体" w:eastAsia="宋体" w:cs="Times New Roman"/>
                <w:kern w:val="0"/>
                <w:szCs w:val="21"/>
              </w:rPr>
              <w:t>沿海港口航道数字航海产品交换数据集格式 第2部分：表层流数据</w:t>
            </w:r>
          </w:p>
        </w:tc>
        <w:tc>
          <w:tcPr>
            <w:tcW w:w="5528" w:type="dxa"/>
            <w:vAlign w:val="center"/>
          </w:tcPr>
          <w:p>
            <w:pPr>
              <w:rPr>
                <w:rFonts w:hint="eastAsia" w:ascii="宋体" w:hAnsi="宋体" w:eastAsia="宋体" w:cs="Times New Roman"/>
                <w:kern w:val="0"/>
                <w:szCs w:val="21"/>
              </w:rPr>
            </w:pPr>
            <w:r>
              <w:rPr>
                <w:rFonts w:ascii="宋体" w:hAnsi="宋体" w:eastAsia="宋体" w:cs="Times New Roman"/>
                <w:kern w:val="0"/>
                <w:szCs w:val="21"/>
              </w:rPr>
              <w:t>拟规定沿海港口航道数字航海产品序列中表层流数据产品的数据内容和结构、坐标参考系统、数据质量、数据采集、分类与编码、图示表达、产品格式、数据传输、元数据等技术要求。</w:t>
            </w:r>
          </w:p>
          <w:p>
            <w:pPr>
              <w:rPr>
                <w:rFonts w:hint="eastAsia" w:ascii="宋体" w:hAnsi="宋体" w:eastAsia="宋体" w:cs="Times New Roman"/>
                <w:kern w:val="0"/>
                <w:szCs w:val="21"/>
              </w:rPr>
            </w:pPr>
            <w:r>
              <w:rPr>
                <w:rFonts w:ascii="宋体" w:hAnsi="宋体" w:eastAsia="宋体" w:cs="Times New Roman"/>
                <w:kern w:val="0"/>
                <w:szCs w:val="21"/>
              </w:rPr>
              <w:t>适用于沿海港口航道数字航海表层流数据产品的生产、处理、交换、显示和应用，数字航海表层流数据产品生产系统、发布系统与应用系统的设计研发参考使用。</w:t>
            </w:r>
          </w:p>
        </w:tc>
        <w:tc>
          <w:tcPr>
            <w:tcW w:w="709" w:type="dxa"/>
            <w:vAlign w:val="center"/>
          </w:tcPr>
          <w:p>
            <w:pPr>
              <w:jc w:val="center"/>
              <w:rPr>
                <w:rFonts w:hint="eastAsia" w:ascii="宋体" w:hAnsi="宋体" w:eastAsia="宋体" w:cs="宋体"/>
                <w:kern w:val="0"/>
                <w:szCs w:val="21"/>
              </w:rPr>
            </w:pPr>
            <w:r>
              <w:rPr>
                <w:rFonts w:hint="eastAsia" w:ascii="宋体" w:hAnsi="宋体" w:eastAsia="宋体" w:cs="宋体"/>
                <w:kern w:val="0"/>
                <w:szCs w:val="21"/>
              </w:rPr>
              <w:t>制定</w:t>
            </w:r>
          </w:p>
        </w:tc>
        <w:tc>
          <w:tcPr>
            <w:tcW w:w="1121" w:type="dxa"/>
            <w:vAlign w:val="center"/>
          </w:tcPr>
          <w:p>
            <w:pPr>
              <w:jc w:val="center"/>
              <w:rPr>
                <w:rFonts w:hint="eastAsia" w:ascii="宋体" w:hAnsi="宋体" w:eastAsia="宋体" w:cs="宋体"/>
                <w:kern w:val="0"/>
                <w:szCs w:val="21"/>
              </w:rPr>
            </w:pPr>
          </w:p>
        </w:tc>
        <w:tc>
          <w:tcPr>
            <w:tcW w:w="846" w:type="dxa"/>
            <w:vAlign w:val="center"/>
          </w:tcPr>
          <w:p>
            <w:pPr>
              <w:jc w:val="center"/>
              <w:rPr>
                <w:rFonts w:hint="eastAsia" w:ascii="宋体" w:hAnsi="宋体" w:eastAsia="宋体" w:cs="宋体"/>
                <w:kern w:val="0"/>
                <w:szCs w:val="21"/>
              </w:rPr>
            </w:pPr>
            <w:r>
              <w:rPr>
                <w:rFonts w:ascii="宋体" w:hAnsi="宋体" w:eastAsia="宋体" w:cs="宋体"/>
                <w:kern w:val="0"/>
                <w:szCs w:val="21"/>
              </w:rPr>
              <w:t>12</w:t>
            </w:r>
          </w:p>
        </w:tc>
        <w:tc>
          <w:tcPr>
            <w:tcW w:w="988" w:type="dxa"/>
            <w:vAlign w:val="center"/>
          </w:tcPr>
          <w:p>
            <w:pPr>
              <w:jc w:val="center"/>
              <w:rPr>
                <w:rFonts w:hint="eastAsia" w:ascii="宋体" w:hAnsi="宋体" w:eastAsia="宋体" w:cs="宋体"/>
                <w:kern w:val="0"/>
                <w:szCs w:val="21"/>
              </w:rPr>
            </w:pPr>
            <w:r>
              <w:rPr>
                <w:rFonts w:ascii="宋体" w:hAnsi="宋体" w:eastAsia="宋体" w:cs="宋体"/>
                <w:kern w:val="0"/>
                <w:szCs w:val="21"/>
              </w:rPr>
              <w:t>航测标委会</w:t>
            </w:r>
          </w:p>
        </w:tc>
        <w:tc>
          <w:tcPr>
            <w:tcW w:w="2799" w:type="dxa"/>
            <w:vAlign w:val="center"/>
          </w:tcPr>
          <w:p>
            <w:pPr>
              <w:rPr>
                <w:rFonts w:hint="eastAsia" w:ascii="宋体" w:hAnsi="宋体" w:eastAsia="宋体" w:cs="宋体"/>
                <w:kern w:val="0"/>
                <w:szCs w:val="21"/>
              </w:rPr>
            </w:pPr>
            <w:r>
              <w:rPr>
                <w:rFonts w:ascii="宋体" w:hAnsi="宋体" w:eastAsia="宋体" w:cs="宋体"/>
                <w:kern w:val="0"/>
                <w:szCs w:val="21"/>
              </w:rPr>
              <w:t>交通运输部东海航海保障中心、交通运输部水运科学研究所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568" w:hRule="atLeast"/>
        </w:trPr>
        <w:tc>
          <w:tcPr>
            <w:tcW w:w="562" w:type="dxa"/>
            <w:vAlign w:val="center"/>
          </w:tcPr>
          <w:p>
            <w:pPr>
              <w:jc w:val="center"/>
              <w:rPr>
                <w:rFonts w:hint="eastAsia" w:ascii="宋体" w:hAnsi="宋体" w:eastAsia="宋体" w:cs="Times New Roman"/>
                <w:bCs/>
                <w:kern w:val="0"/>
                <w:szCs w:val="21"/>
              </w:rPr>
            </w:pPr>
            <w:r>
              <w:rPr>
                <w:rFonts w:hint="eastAsia" w:ascii="宋体" w:hAnsi="宋体" w:eastAsia="宋体" w:cs="Times New Roman"/>
                <w:bCs/>
                <w:kern w:val="0"/>
                <w:szCs w:val="21"/>
              </w:rPr>
              <w:t>21</w:t>
            </w:r>
          </w:p>
        </w:tc>
        <w:tc>
          <w:tcPr>
            <w:tcW w:w="1134" w:type="dxa"/>
            <w:vAlign w:val="center"/>
          </w:tcPr>
          <w:p>
            <w:pPr>
              <w:jc w:val="center"/>
              <w:rPr>
                <w:rFonts w:hint="eastAsia" w:ascii="宋体" w:hAnsi="宋体" w:eastAsia="宋体" w:cs="宋体"/>
                <w:color w:val="000000"/>
                <w:kern w:val="0"/>
                <w:szCs w:val="21"/>
              </w:rPr>
            </w:pPr>
            <w:r>
              <w:rPr>
                <w:rFonts w:hint="eastAsia" w:ascii="宋体" w:hAnsi="宋体" w:eastAsia="宋体"/>
                <w:kern w:val="0"/>
                <w:szCs w:val="21"/>
              </w:rPr>
              <w:t>JT 2024-21</w:t>
            </w:r>
          </w:p>
        </w:tc>
        <w:tc>
          <w:tcPr>
            <w:tcW w:w="1560" w:type="dxa"/>
            <w:vAlign w:val="center"/>
          </w:tcPr>
          <w:p>
            <w:pPr>
              <w:rPr>
                <w:rFonts w:hint="eastAsia" w:ascii="宋体" w:hAnsi="宋体" w:eastAsia="宋体" w:cs="Times New Roman"/>
                <w:kern w:val="0"/>
                <w:szCs w:val="21"/>
              </w:rPr>
            </w:pPr>
            <w:r>
              <w:rPr>
                <w:rFonts w:ascii="宋体" w:hAnsi="宋体" w:eastAsia="宋体" w:cs="Times New Roman"/>
                <w:kern w:val="0"/>
                <w:szCs w:val="21"/>
              </w:rPr>
              <w:t>钢结构灯桩通用技术条件</w:t>
            </w:r>
          </w:p>
        </w:tc>
        <w:tc>
          <w:tcPr>
            <w:tcW w:w="5528" w:type="dxa"/>
            <w:vAlign w:val="center"/>
          </w:tcPr>
          <w:p>
            <w:pPr>
              <w:widowControl/>
              <w:rPr>
                <w:rFonts w:hint="eastAsia" w:ascii="宋体" w:hAnsi="宋体" w:eastAsia="宋体" w:cs="Times New Roman"/>
                <w:kern w:val="0"/>
                <w:szCs w:val="21"/>
              </w:rPr>
            </w:pPr>
            <w:r>
              <w:rPr>
                <w:rFonts w:ascii="宋体" w:hAnsi="宋体" w:eastAsia="宋体" w:cs="Times New Roman"/>
                <w:kern w:val="0"/>
                <w:szCs w:val="21"/>
              </w:rPr>
              <w:t>现行标准规定了钢管灯桩的分类及基本参数系列、制造要求、检验方法、标志、包装、运输和存储。</w:t>
            </w:r>
          </w:p>
          <w:p>
            <w:pPr>
              <w:widowControl/>
              <w:rPr>
                <w:rFonts w:hint="eastAsia" w:ascii="宋体" w:hAnsi="宋体" w:eastAsia="宋体" w:cs="Times New Roman"/>
                <w:kern w:val="0"/>
                <w:szCs w:val="21"/>
              </w:rPr>
            </w:pPr>
            <w:r>
              <w:rPr>
                <w:rFonts w:ascii="宋体" w:hAnsi="宋体" w:eastAsia="宋体" w:cs="Times New Roman"/>
                <w:kern w:val="0"/>
                <w:szCs w:val="21"/>
              </w:rPr>
              <w:t>适用于沿海及内河助航标志用钢管灯桩。</w:t>
            </w:r>
          </w:p>
          <w:p>
            <w:pPr>
              <w:widowControl/>
              <w:rPr>
                <w:rFonts w:hint="eastAsia" w:ascii="宋体" w:hAnsi="宋体" w:eastAsia="宋体" w:cs="Times New Roman"/>
                <w:kern w:val="0"/>
                <w:szCs w:val="21"/>
              </w:rPr>
            </w:pPr>
            <w:r>
              <w:rPr>
                <w:rFonts w:ascii="宋体" w:hAnsi="宋体" w:eastAsia="宋体" w:cs="Times New Roman"/>
                <w:kern w:val="0"/>
                <w:szCs w:val="21"/>
              </w:rPr>
              <w:t>主要修订内容：1.</w:t>
            </w:r>
            <w:r>
              <w:rPr>
                <w:rFonts w:hint="eastAsia" w:ascii="宋体" w:hAnsi="宋体" w:eastAsia="宋体" w:cs="Times New Roman"/>
                <w:kern w:val="0"/>
                <w:szCs w:val="21"/>
              </w:rPr>
              <w:t>更改</w:t>
            </w:r>
            <w:r>
              <w:rPr>
                <w:rFonts w:ascii="宋体" w:hAnsi="宋体" w:eastAsia="宋体" w:cs="Times New Roman"/>
                <w:kern w:val="0"/>
                <w:szCs w:val="21"/>
              </w:rPr>
              <w:t>标准名称</w:t>
            </w:r>
            <w:r>
              <w:rPr>
                <w:rFonts w:hint="eastAsia" w:ascii="宋体" w:hAnsi="宋体" w:eastAsia="宋体" w:cs="Times New Roman"/>
                <w:kern w:val="0"/>
                <w:szCs w:val="21"/>
              </w:rPr>
              <w:t>和适用范围</w:t>
            </w:r>
            <w:r>
              <w:rPr>
                <w:rFonts w:ascii="宋体" w:hAnsi="宋体" w:eastAsia="宋体" w:cs="Times New Roman"/>
                <w:kern w:val="0"/>
                <w:szCs w:val="21"/>
              </w:rPr>
              <w:t>；2.增加行桁架式角钢灯桩基本参数要求；3.根据绿色环保要求</w:t>
            </w:r>
            <w:r>
              <w:rPr>
                <w:rFonts w:hint="eastAsia" w:ascii="宋体" w:hAnsi="宋体" w:eastAsia="宋体" w:cs="Times New Roman"/>
                <w:kern w:val="0"/>
                <w:szCs w:val="21"/>
              </w:rPr>
              <w:t>更改</w:t>
            </w:r>
            <w:r>
              <w:rPr>
                <w:rFonts w:ascii="宋体" w:hAnsi="宋体" w:eastAsia="宋体" w:cs="Times New Roman"/>
                <w:kern w:val="0"/>
                <w:szCs w:val="21"/>
              </w:rPr>
              <w:t>防腐技术要求；4.根据技术发展</w:t>
            </w:r>
            <w:r>
              <w:rPr>
                <w:rFonts w:hint="eastAsia" w:ascii="宋体" w:hAnsi="宋体" w:eastAsia="宋体" w:cs="Times New Roman"/>
                <w:kern w:val="0"/>
                <w:szCs w:val="21"/>
              </w:rPr>
              <w:t>更改</w:t>
            </w:r>
            <w:r>
              <w:rPr>
                <w:rFonts w:ascii="宋体" w:hAnsi="宋体" w:eastAsia="宋体" w:cs="Times New Roman"/>
                <w:kern w:val="0"/>
                <w:szCs w:val="21"/>
              </w:rPr>
              <w:t>试验方法。</w:t>
            </w:r>
          </w:p>
        </w:tc>
        <w:tc>
          <w:tcPr>
            <w:tcW w:w="709" w:type="dxa"/>
            <w:vAlign w:val="center"/>
          </w:tcPr>
          <w:p>
            <w:pPr>
              <w:jc w:val="center"/>
              <w:rPr>
                <w:rFonts w:hint="eastAsia" w:ascii="宋体" w:hAnsi="宋体" w:eastAsia="宋体" w:cs="宋体"/>
                <w:kern w:val="0"/>
                <w:szCs w:val="21"/>
              </w:rPr>
            </w:pPr>
            <w:r>
              <w:rPr>
                <w:rFonts w:ascii="宋体" w:hAnsi="宋体" w:eastAsia="宋体" w:cs="宋体"/>
                <w:kern w:val="0"/>
                <w:szCs w:val="21"/>
              </w:rPr>
              <w:t>修订</w:t>
            </w:r>
          </w:p>
        </w:tc>
        <w:tc>
          <w:tcPr>
            <w:tcW w:w="1121" w:type="dxa"/>
            <w:vAlign w:val="center"/>
          </w:tcPr>
          <w:p>
            <w:pPr>
              <w:jc w:val="center"/>
              <w:rPr>
                <w:rFonts w:hint="eastAsia" w:ascii="宋体" w:hAnsi="宋体" w:eastAsia="宋体" w:cs="宋体"/>
                <w:kern w:val="0"/>
                <w:szCs w:val="21"/>
              </w:rPr>
            </w:pPr>
            <w:r>
              <w:rPr>
                <w:rFonts w:ascii="宋体" w:hAnsi="宋体" w:eastAsia="宋体" w:cs="宋体"/>
                <w:kern w:val="0"/>
                <w:szCs w:val="21"/>
              </w:rPr>
              <w:t>JT/T 102</w:t>
            </w:r>
            <w:r>
              <w:rPr>
                <w:rFonts w:hint="eastAsia" w:ascii="宋体" w:hAnsi="宋体" w:eastAsia="宋体" w:cs="宋体"/>
                <w:kern w:val="0"/>
                <w:szCs w:val="21"/>
              </w:rPr>
              <w:t>—</w:t>
            </w:r>
            <w:r>
              <w:rPr>
                <w:rFonts w:ascii="宋体" w:hAnsi="宋体" w:eastAsia="宋体" w:cs="宋体"/>
                <w:kern w:val="0"/>
                <w:szCs w:val="21"/>
              </w:rPr>
              <w:t>2009</w:t>
            </w:r>
          </w:p>
        </w:tc>
        <w:tc>
          <w:tcPr>
            <w:tcW w:w="846" w:type="dxa"/>
            <w:vAlign w:val="center"/>
          </w:tcPr>
          <w:p>
            <w:pPr>
              <w:jc w:val="center"/>
              <w:rPr>
                <w:rFonts w:hint="eastAsia" w:ascii="宋体" w:hAnsi="宋体" w:eastAsia="宋体" w:cs="宋体"/>
                <w:kern w:val="0"/>
                <w:szCs w:val="21"/>
              </w:rPr>
            </w:pPr>
            <w:r>
              <w:rPr>
                <w:rFonts w:ascii="宋体" w:hAnsi="宋体" w:eastAsia="宋体" w:cs="宋体"/>
                <w:kern w:val="0"/>
                <w:szCs w:val="21"/>
              </w:rPr>
              <w:t>12</w:t>
            </w:r>
          </w:p>
        </w:tc>
        <w:tc>
          <w:tcPr>
            <w:tcW w:w="988" w:type="dxa"/>
            <w:vAlign w:val="center"/>
          </w:tcPr>
          <w:p>
            <w:pPr>
              <w:jc w:val="center"/>
              <w:rPr>
                <w:rFonts w:hint="eastAsia" w:ascii="宋体" w:hAnsi="宋体" w:eastAsia="宋体" w:cs="宋体"/>
                <w:kern w:val="0"/>
                <w:szCs w:val="21"/>
              </w:rPr>
            </w:pPr>
            <w:r>
              <w:rPr>
                <w:rFonts w:ascii="宋体" w:hAnsi="宋体" w:eastAsia="宋体" w:cs="宋体"/>
                <w:kern w:val="0"/>
                <w:szCs w:val="21"/>
              </w:rPr>
              <w:t>航测标委会</w:t>
            </w:r>
          </w:p>
        </w:tc>
        <w:tc>
          <w:tcPr>
            <w:tcW w:w="2799" w:type="dxa"/>
            <w:vAlign w:val="center"/>
          </w:tcPr>
          <w:p>
            <w:pPr>
              <w:rPr>
                <w:rFonts w:hint="eastAsia" w:ascii="宋体" w:hAnsi="宋体" w:eastAsia="宋体" w:cs="宋体"/>
                <w:kern w:val="0"/>
                <w:szCs w:val="21"/>
              </w:rPr>
            </w:pPr>
            <w:r>
              <w:rPr>
                <w:rFonts w:ascii="宋体" w:hAnsi="宋体" w:eastAsia="宋体" w:cs="宋体"/>
                <w:kern w:val="0"/>
                <w:szCs w:val="21"/>
              </w:rPr>
              <w:t>交通运输部东海航海保障中心连云港航标处、中交上海航道勘察设计研究院有限公司</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568" w:hRule="atLeast"/>
        </w:trPr>
        <w:tc>
          <w:tcPr>
            <w:tcW w:w="562" w:type="dxa"/>
            <w:vAlign w:val="center"/>
          </w:tcPr>
          <w:p>
            <w:pPr>
              <w:jc w:val="center"/>
              <w:rPr>
                <w:rFonts w:hint="eastAsia" w:ascii="宋体" w:hAnsi="宋体" w:eastAsia="宋体" w:cs="Times New Roman"/>
                <w:bCs/>
                <w:kern w:val="0"/>
                <w:szCs w:val="21"/>
              </w:rPr>
            </w:pPr>
            <w:r>
              <w:rPr>
                <w:rFonts w:hint="eastAsia" w:ascii="宋体" w:hAnsi="宋体" w:eastAsia="宋体" w:cs="Times New Roman"/>
                <w:bCs/>
                <w:kern w:val="0"/>
                <w:szCs w:val="21"/>
              </w:rPr>
              <w:t>22</w:t>
            </w:r>
          </w:p>
        </w:tc>
        <w:tc>
          <w:tcPr>
            <w:tcW w:w="1134" w:type="dxa"/>
            <w:vAlign w:val="center"/>
          </w:tcPr>
          <w:p>
            <w:pPr>
              <w:jc w:val="center"/>
              <w:rPr>
                <w:rFonts w:hint="eastAsia" w:ascii="宋体" w:hAnsi="宋体" w:eastAsia="宋体" w:cs="宋体"/>
                <w:color w:val="000000"/>
                <w:kern w:val="0"/>
                <w:szCs w:val="21"/>
              </w:rPr>
            </w:pPr>
            <w:r>
              <w:rPr>
                <w:rFonts w:hint="eastAsia" w:ascii="宋体" w:hAnsi="宋体" w:eastAsia="宋体"/>
                <w:kern w:val="0"/>
                <w:szCs w:val="21"/>
              </w:rPr>
              <w:t>JT 2024-22</w:t>
            </w:r>
          </w:p>
        </w:tc>
        <w:tc>
          <w:tcPr>
            <w:tcW w:w="1560" w:type="dxa"/>
            <w:vAlign w:val="center"/>
          </w:tcPr>
          <w:p>
            <w:pPr>
              <w:rPr>
                <w:rFonts w:hint="eastAsia" w:ascii="宋体" w:hAnsi="宋体" w:eastAsia="宋体" w:cs="Times New Roman"/>
                <w:kern w:val="0"/>
                <w:szCs w:val="21"/>
              </w:rPr>
            </w:pPr>
            <w:r>
              <w:rPr>
                <w:rFonts w:ascii="宋体" w:hAnsi="宋体" w:eastAsia="宋体" w:cs="Times New Roman"/>
                <w:kern w:val="0"/>
                <w:szCs w:val="21"/>
              </w:rPr>
              <w:t>船舶交通管理系统数据交换  第1部分：IVEF格式</w:t>
            </w:r>
          </w:p>
        </w:tc>
        <w:tc>
          <w:tcPr>
            <w:tcW w:w="5528" w:type="dxa"/>
            <w:vAlign w:val="center"/>
          </w:tcPr>
          <w:p>
            <w:pPr>
              <w:widowControl/>
              <w:rPr>
                <w:rFonts w:hint="eastAsia" w:ascii="宋体" w:hAnsi="宋体" w:eastAsia="宋体" w:cs="Times New Roman"/>
                <w:kern w:val="0"/>
                <w:szCs w:val="21"/>
              </w:rPr>
            </w:pPr>
            <w:r>
              <w:rPr>
                <w:rFonts w:ascii="宋体" w:hAnsi="宋体" w:eastAsia="宋体" w:cs="Times New Roman"/>
                <w:kern w:val="0"/>
                <w:szCs w:val="21"/>
              </w:rPr>
              <w:t>现行标准规定了船舶交通管理系统数据交换IVEF服务及其模型和消息格式</w:t>
            </w:r>
            <w:r>
              <w:rPr>
                <w:rFonts w:hint="eastAsia" w:ascii="宋体" w:hAnsi="宋体" w:eastAsia="宋体" w:cs="Times New Roman"/>
                <w:kern w:val="0"/>
                <w:szCs w:val="21"/>
              </w:rPr>
              <w:t>。</w:t>
            </w:r>
          </w:p>
          <w:p>
            <w:pPr>
              <w:widowControl/>
              <w:rPr>
                <w:rFonts w:hint="eastAsia" w:ascii="宋体" w:hAnsi="宋体" w:eastAsia="宋体" w:cs="Times New Roman"/>
                <w:kern w:val="0"/>
                <w:szCs w:val="21"/>
              </w:rPr>
            </w:pPr>
            <w:r>
              <w:rPr>
                <w:rFonts w:ascii="宋体" w:hAnsi="宋体" w:eastAsia="宋体" w:cs="Times New Roman"/>
                <w:kern w:val="0"/>
                <w:szCs w:val="21"/>
              </w:rPr>
              <w:t>适用于船舶交通管理系统之间以及船舶交通管理系统与其他信息系统之间进行数据交换。</w:t>
            </w:r>
          </w:p>
          <w:p>
            <w:pPr>
              <w:widowControl/>
              <w:rPr>
                <w:rFonts w:hint="eastAsia" w:ascii="宋体" w:hAnsi="宋体" w:eastAsia="宋体" w:cs="Times New Roman"/>
                <w:kern w:val="0"/>
                <w:szCs w:val="21"/>
              </w:rPr>
            </w:pPr>
            <w:r>
              <w:rPr>
                <w:rFonts w:ascii="宋体" w:hAnsi="宋体" w:eastAsia="宋体" w:cs="Times New Roman"/>
                <w:kern w:val="0"/>
                <w:szCs w:val="21"/>
              </w:rPr>
              <w:t>主要修订内容：1.更改IVEF服务描述；2.增加元素TrackData、Pos等的属性；3.更改元素NavStatus、VoyageData等的属性；4.增加属性Beido</w:t>
            </w:r>
            <w:r>
              <w:rPr>
                <w:rFonts w:hint="eastAsia" w:ascii="宋体" w:hAnsi="宋体" w:eastAsia="宋体" w:cs="Times New Roman"/>
                <w:kern w:val="0"/>
                <w:szCs w:val="21"/>
              </w:rPr>
              <w:t>u</w:t>
            </w:r>
            <w:r>
              <w:rPr>
                <w:rFonts w:ascii="宋体" w:hAnsi="宋体" w:eastAsia="宋体" w:cs="Times New Roman"/>
                <w:kern w:val="0"/>
                <w:szCs w:val="21"/>
              </w:rPr>
              <w:t>Id、BeidouIndicationPos等的定义；5.更改属性BlackListed、Class、Deadweight、Flag等的定义。</w:t>
            </w:r>
          </w:p>
        </w:tc>
        <w:tc>
          <w:tcPr>
            <w:tcW w:w="709" w:type="dxa"/>
            <w:vAlign w:val="center"/>
          </w:tcPr>
          <w:p>
            <w:pPr>
              <w:jc w:val="center"/>
              <w:rPr>
                <w:rFonts w:hint="eastAsia" w:ascii="宋体" w:hAnsi="宋体" w:eastAsia="宋体" w:cs="宋体"/>
                <w:kern w:val="0"/>
                <w:szCs w:val="21"/>
              </w:rPr>
            </w:pPr>
            <w:r>
              <w:rPr>
                <w:rFonts w:ascii="宋体" w:hAnsi="宋体" w:eastAsia="宋体" w:cs="宋体"/>
                <w:kern w:val="0"/>
                <w:szCs w:val="21"/>
              </w:rPr>
              <w:t>修订</w:t>
            </w:r>
          </w:p>
        </w:tc>
        <w:tc>
          <w:tcPr>
            <w:tcW w:w="1121" w:type="dxa"/>
            <w:vAlign w:val="center"/>
          </w:tcPr>
          <w:p>
            <w:pPr>
              <w:jc w:val="center"/>
              <w:rPr>
                <w:rFonts w:hint="eastAsia" w:ascii="宋体" w:hAnsi="宋体" w:eastAsia="宋体" w:cs="宋体"/>
                <w:kern w:val="0"/>
                <w:szCs w:val="21"/>
              </w:rPr>
            </w:pPr>
            <w:r>
              <w:rPr>
                <w:rFonts w:ascii="宋体" w:hAnsi="宋体" w:eastAsia="宋体" w:cs="宋体"/>
                <w:kern w:val="0"/>
                <w:szCs w:val="21"/>
              </w:rPr>
              <w:t>JT/T 1142.1</w:t>
            </w:r>
            <w:r>
              <w:rPr>
                <w:rFonts w:hint="eastAsia" w:ascii="宋体" w:hAnsi="宋体" w:eastAsia="宋体" w:cs="宋体"/>
                <w:kern w:val="0"/>
                <w:szCs w:val="21"/>
              </w:rPr>
              <w:t>—</w:t>
            </w:r>
            <w:r>
              <w:rPr>
                <w:rFonts w:ascii="宋体" w:hAnsi="宋体" w:eastAsia="宋体" w:cs="宋体"/>
                <w:kern w:val="0"/>
                <w:szCs w:val="21"/>
              </w:rPr>
              <w:t>2017</w:t>
            </w:r>
          </w:p>
        </w:tc>
        <w:tc>
          <w:tcPr>
            <w:tcW w:w="846" w:type="dxa"/>
            <w:vAlign w:val="center"/>
          </w:tcPr>
          <w:p>
            <w:pPr>
              <w:jc w:val="center"/>
              <w:rPr>
                <w:rFonts w:hint="eastAsia" w:ascii="宋体" w:hAnsi="宋体" w:eastAsia="宋体" w:cs="宋体"/>
                <w:kern w:val="0"/>
                <w:szCs w:val="21"/>
              </w:rPr>
            </w:pPr>
            <w:r>
              <w:rPr>
                <w:rFonts w:ascii="宋体" w:hAnsi="宋体" w:eastAsia="宋体" w:cs="宋体"/>
                <w:kern w:val="0"/>
                <w:szCs w:val="21"/>
              </w:rPr>
              <w:t>12</w:t>
            </w:r>
          </w:p>
        </w:tc>
        <w:tc>
          <w:tcPr>
            <w:tcW w:w="988" w:type="dxa"/>
            <w:vAlign w:val="center"/>
          </w:tcPr>
          <w:p>
            <w:pPr>
              <w:jc w:val="center"/>
              <w:rPr>
                <w:rFonts w:hint="eastAsia" w:ascii="宋体" w:hAnsi="宋体" w:eastAsia="宋体" w:cs="宋体"/>
                <w:kern w:val="0"/>
                <w:szCs w:val="21"/>
              </w:rPr>
            </w:pPr>
            <w:r>
              <w:rPr>
                <w:rFonts w:ascii="宋体" w:hAnsi="宋体" w:eastAsia="宋体" w:cs="宋体"/>
                <w:kern w:val="0"/>
                <w:szCs w:val="21"/>
              </w:rPr>
              <w:t>航测标委会</w:t>
            </w:r>
          </w:p>
        </w:tc>
        <w:tc>
          <w:tcPr>
            <w:tcW w:w="2799" w:type="dxa"/>
            <w:vAlign w:val="center"/>
          </w:tcPr>
          <w:p>
            <w:pPr>
              <w:rPr>
                <w:rFonts w:hint="eastAsia" w:ascii="宋体" w:hAnsi="宋体" w:eastAsia="宋体" w:cs="宋体"/>
                <w:kern w:val="0"/>
                <w:szCs w:val="21"/>
              </w:rPr>
            </w:pPr>
            <w:r>
              <w:rPr>
                <w:rFonts w:ascii="宋体" w:hAnsi="宋体" w:eastAsia="宋体" w:cs="宋体"/>
                <w:kern w:val="0"/>
                <w:szCs w:val="21"/>
              </w:rPr>
              <w:t>深圳海事局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568" w:hRule="atLeast"/>
        </w:trPr>
        <w:tc>
          <w:tcPr>
            <w:tcW w:w="562" w:type="dxa"/>
            <w:vAlign w:val="center"/>
          </w:tcPr>
          <w:p>
            <w:pPr>
              <w:jc w:val="center"/>
              <w:rPr>
                <w:rFonts w:hint="eastAsia" w:ascii="宋体" w:hAnsi="宋体" w:eastAsia="宋体" w:cs="Times New Roman"/>
                <w:bCs/>
                <w:kern w:val="0"/>
                <w:szCs w:val="21"/>
              </w:rPr>
            </w:pPr>
            <w:r>
              <w:rPr>
                <w:rFonts w:hint="eastAsia" w:ascii="宋体" w:hAnsi="宋体" w:eastAsia="宋体" w:cs="Times New Roman"/>
                <w:bCs/>
                <w:kern w:val="0"/>
                <w:szCs w:val="21"/>
              </w:rPr>
              <w:t>23</w:t>
            </w:r>
          </w:p>
        </w:tc>
        <w:tc>
          <w:tcPr>
            <w:tcW w:w="1134" w:type="dxa"/>
            <w:vAlign w:val="center"/>
          </w:tcPr>
          <w:p>
            <w:pPr>
              <w:jc w:val="center"/>
              <w:rPr>
                <w:rFonts w:hint="eastAsia" w:ascii="宋体" w:hAnsi="宋体" w:eastAsia="宋体" w:cs="宋体"/>
                <w:color w:val="000000"/>
                <w:kern w:val="0"/>
                <w:szCs w:val="21"/>
              </w:rPr>
            </w:pPr>
            <w:r>
              <w:rPr>
                <w:rFonts w:hint="eastAsia" w:ascii="宋体" w:hAnsi="宋体" w:eastAsia="宋体"/>
                <w:kern w:val="0"/>
                <w:szCs w:val="21"/>
              </w:rPr>
              <w:t>JT 2024-23</w:t>
            </w:r>
          </w:p>
        </w:tc>
        <w:tc>
          <w:tcPr>
            <w:tcW w:w="1560" w:type="dxa"/>
            <w:vAlign w:val="center"/>
          </w:tcPr>
          <w:p>
            <w:pPr>
              <w:rPr>
                <w:rFonts w:hint="eastAsia" w:ascii="宋体" w:hAnsi="宋体" w:eastAsia="宋体" w:cs="Times New Roman"/>
                <w:kern w:val="0"/>
                <w:szCs w:val="21"/>
              </w:rPr>
            </w:pPr>
            <w:r>
              <w:rPr>
                <w:rFonts w:ascii="宋体" w:hAnsi="宋体" w:eastAsia="宋体" w:cs="Times New Roman"/>
                <w:kern w:val="0"/>
                <w:szCs w:val="21"/>
              </w:rPr>
              <w:t>船舶交通管理系统数据交换  第2部分：电文格式</w:t>
            </w:r>
          </w:p>
        </w:tc>
        <w:tc>
          <w:tcPr>
            <w:tcW w:w="5528" w:type="dxa"/>
            <w:vAlign w:val="center"/>
          </w:tcPr>
          <w:p>
            <w:pPr>
              <w:widowControl/>
              <w:rPr>
                <w:rFonts w:hint="eastAsia" w:ascii="宋体" w:hAnsi="宋体" w:eastAsia="宋体" w:cs="Times New Roman"/>
                <w:kern w:val="0"/>
                <w:szCs w:val="21"/>
              </w:rPr>
            </w:pPr>
            <w:r>
              <w:rPr>
                <w:rFonts w:ascii="宋体" w:hAnsi="宋体" w:eastAsia="宋体" w:cs="Times New Roman"/>
                <w:kern w:val="0"/>
                <w:szCs w:val="21"/>
              </w:rPr>
              <w:t>现行标准规定了船舶交通管理系统数据交换标准电文的数据格式、数据内容和数据传输</w:t>
            </w:r>
            <w:r>
              <w:rPr>
                <w:rFonts w:hint="eastAsia" w:ascii="宋体" w:hAnsi="宋体" w:eastAsia="宋体" w:cs="Times New Roman"/>
                <w:kern w:val="0"/>
                <w:szCs w:val="21"/>
              </w:rPr>
              <w:t>。</w:t>
            </w:r>
          </w:p>
          <w:p>
            <w:pPr>
              <w:widowControl/>
              <w:rPr>
                <w:rFonts w:hint="eastAsia" w:ascii="宋体" w:hAnsi="宋体" w:eastAsia="宋体" w:cs="Times New Roman"/>
                <w:kern w:val="0"/>
                <w:szCs w:val="21"/>
              </w:rPr>
            </w:pPr>
            <w:r>
              <w:rPr>
                <w:rFonts w:ascii="宋体" w:hAnsi="宋体" w:eastAsia="宋体" w:cs="Times New Roman"/>
                <w:kern w:val="0"/>
                <w:szCs w:val="21"/>
              </w:rPr>
              <w:t>适用于船舶交通管理系统之间以及船舶交通管理系统与其他信息系统之间进行数据交换。</w:t>
            </w:r>
          </w:p>
          <w:p>
            <w:pPr>
              <w:widowControl/>
              <w:rPr>
                <w:rFonts w:hint="eastAsia" w:ascii="宋体" w:hAnsi="宋体" w:eastAsia="宋体" w:cs="Times New Roman"/>
                <w:kern w:val="0"/>
                <w:szCs w:val="21"/>
              </w:rPr>
            </w:pPr>
            <w:r>
              <w:rPr>
                <w:rFonts w:ascii="宋体" w:hAnsi="宋体" w:eastAsia="宋体" w:cs="Times New Roman"/>
                <w:kern w:val="0"/>
                <w:szCs w:val="21"/>
              </w:rPr>
              <w:t>主要修订内容：1.更改船舶动态信息电文格式；2.更改部分船舶动态信息参数；3.增加船舶动态信息参数；4.删除部分船舶动态信息参数；5.更改航程信息电文格式；6.更改部分航程信息参数；7.补充航程信息参数；8.增加航线计划；9.补充数据传输方式；10.</w:t>
            </w:r>
            <w:r>
              <w:rPr>
                <w:rFonts w:hint="eastAsia" w:ascii="宋体" w:hAnsi="宋体" w:eastAsia="宋体" w:cs="Times New Roman"/>
                <w:kern w:val="0"/>
                <w:szCs w:val="21"/>
              </w:rPr>
              <w:t>更改</w:t>
            </w:r>
            <w:r>
              <w:rPr>
                <w:rFonts w:ascii="宋体" w:hAnsi="宋体" w:eastAsia="宋体" w:cs="Times New Roman"/>
                <w:kern w:val="0"/>
                <w:szCs w:val="21"/>
              </w:rPr>
              <w:t>发送时间间隔；11.</w:t>
            </w:r>
            <w:r>
              <w:rPr>
                <w:rFonts w:hint="eastAsia" w:ascii="宋体" w:hAnsi="宋体" w:eastAsia="宋体" w:cs="Times New Roman"/>
                <w:kern w:val="0"/>
                <w:szCs w:val="21"/>
              </w:rPr>
              <w:t>更改</w:t>
            </w:r>
            <w:r>
              <w:rPr>
                <w:rFonts w:ascii="宋体" w:hAnsi="宋体" w:eastAsia="宋体" w:cs="Times New Roman"/>
                <w:kern w:val="0"/>
                <w:szCs w:val="21"/>
              </w:rPr>
              <w:t>附录B的船舶动态信息示例、航程信息示例。</w:t>
            </w:r>
          </w:p>
        </w:tc>
        <w:tc>
          <w:tcPr>
            <w:tcW w:w="709" w:type="dxa"/>
            <w:vAlign w:val="center"/>
          </w:tcPr>
          <w:p>
            <w:pPr>
              <w:jc w:val="center"/>
              <w:rPr>
                <w:rFonts w:hint="eastAsia" w:ascii="宋体" w:hAnsi="宋体" w:eastAsia="宋体" w:cs="宋体"/>
                <w:kern w:val="0"/>
                <w:szCs w:val="21"/>
              </w:rPr>
            </w:pPr>
            <w:r>
              <w:rPr>
                <w:rFonts w:ascii="宋体" w:hAnsi="宋体" w:eastAsia="宋体" w:cs="宋体"/>
                <w:kern w:val="0"/>
                <w:szCs w:val="21"/>
              </w:rPr>
              <w:t>修订</w:t>
            </w:r>
          </w:p>
        </w:tc>
        <w:tc>
          <w:tcPr>
            <w:tcW w:w="1121" w:type="dxa"/>
            <w:vAlign w:val="center"/>
          </w:tcPr>
          <w:p>
            <w:pPr>
              <w:jc w:val="center"/>
              <w:rPr>
                <w:rFonts w:hint="eastAsia" w:ascii="宋体" w:hAnsi="宋体" w:eastAsia="宋体" w:cs="宋体"/>
                <w:kern w:val="0"/>
                <w:szCs w:val="21"/>
              </w:rPr>
            </w:pPr>
            <w:r>
              <w:rPr>
                <w:rFonts w:ascii="宋体" w:hAnsi="宋体" w:eastAsia="宋体" w:cs="宋体"/>
                <w:kern w:val="0"/>
                <w:szCs w:val="21"/>
              </w:rPr>
              <w:t>JT/T 1142.2</w:t>
            </w:r>
            <w:r>
              <w:rPr>
                <w:rFonts w:hint="eastAsia" w:ascii="宋体" w:hAnsi="宋体" w:eastAsia="宋体" w:cs="宋体"/>
                <w:kern w:val="0"/>
                <w:szCs w:val="21"/>
              </w:rPr>
              <w:t>—</w:t>
            </w:r>
            <w:r>
              <w:rPr>
                <w:rFonts w:ascii="宋体" w:hAnsi="宋体" w:eastAsia="宋体" w:cs="宋体"/>
                <w:kern w:val="0"/>
                <w:szCs w:val="21"/>
              </w:rPr>
              <w:t>2017</w:t>
            </w:r>
          </w:p>
        </w:tc>
        <w:tc>
          <w:tcPr>
            <w:tcW w:w="846" w:type="dxa"/>
            <w:vAlign w:val="center"/>
          </w:tcPr>
          <w:p>
            <w:pPr>
              <w:jc w:val="center"/>
              <w:rPr>
                <w:rFonts w:hint="eastAsia" w:ascii="宋体" w:hAnsi="宋体" w:eastAsia="宋体" w:cs="宋体"/>
                <w:kern w:val="0"/>
                <w:szCs w:val="21"/>
              </w:rPr>
            </w:pPr>
            <w:r>
              <w:rPr>
                <w:rFonts w:ascii="宋体" w:hAnsi="宋体" w:eastAsia="宋体" w:cs="宋体"/>
                <w:kern w:val="0"/>
                <w:szCs w:val="21"/>
              </w:rPr>
              <w:t>12</w:t>
            </w:r>
          </w:p>
        </w:tc>
        <w:tc>
          <w:tcPr>
            <w:tcW w:w="988" w:type="dxa"/>
            <w:vAlign w:val="center"/>
          </w:tcPr>
          <w:p>
            <w:pPr>
              <w:jc w:val="center"/>
              <w:rPr>
                <w:rFonts w:hint="eastAsia" w:ascii="宋体" w:hAnsi="宋体" w:eastAsia="宋体" w:cs="宋体"/>
                <w:kern w:val="0"/>
                <w:szCs w:val="21"/>
              </w:rPr>
            </w:pPr>
            <w:r>
              <w:rPr>
                <w:rFonts w:ascii="宋体" w:hAnsi="宋体" w:eastAsia="宋体" w:cs="宋体"/>
                <w:kern w:val="0"/>
                <w:szCs w:val="21"/>
              </w:rPr>
              <w:t>航测标委会</w:t>
            </w:r>
          </w:p>
        </w:tc>
        <w:tc>
          <w:tcPr>
            <w:tcW w:w="2799" w:type="dxa"/>
            <w:vAlign w:val="center"/>
          </w:tcPr>
          <w:p>
            <w:pPr>
              <w:rPr>
                <w:rFonts w:hint="eastAsia" w:ascii="宋体" w:hAnsi="宋体" w:eastAsia="宋体" w:cs="宋体"/>
                <w:kern w:val="0"/>
                <w:szCs w:val="21"/>
              </w:rPr>
            </w:pPr>
            <w:r>
              <w:rPr>
                <w:rFonts w:ascii="宋体" w:hAnsi="宋体" w:eastAsia="宋体" w:cs="宋体"/>
                <w:kern w:val="0"/>
                <w:szCs w:val="21"/>
              </w:rPr>
              <w:t>深圳海事局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568" w:hRule="atLeast"/>
        </w:trPr>
        <w:tc>
          <w:tcPr>
            <w:tcW w:w="562" w:type="dxa"/>
            <w:vAlign w:val="center"/>
          </w:tcPr>
          <w:p>
            <w:pPr>
              <w:jc w:val="center"/>
              <w:rPr>
                <w:rFonts w:hint="eastAsia" w:ascii="宋体" w:hAnsi="宋体" w:eastAsia="宋体" w:cs="Times New Roman"/>
                <w:bCs/>
                <w:kern w:val="0"/>
                <w:szCs w:val="21"/>
              </w:rPr>
            </w:pPr>
            <w:r>
              <w:rPr>
                <w:rFonts w:hint="eastAsia" w:ascii="宋体" w:hAnsi="宋体" w:eastAsia="宋体" w:cs="Times New Roman"/>
                <w:bCs/>
                <w:kern w:val="0"/>
                <w:szCs w:val="21"/>
              </w:rPr>
              <w:t>24</w:t>
            </w:r>
          </w:p>
        </w:tc>
        <w:tc>
          <w:tcPr>
            <w:tcW w:w="1134" w:type="dxa"/>
            <w:vAlign w:val="center"/>
          </w:tcPr>
          <w:p>
            <w:pPr>
              <w:jc w:val="center"/>
              <w:rPr>
                <w:rFonts w:hint="eastAsia" w:ascii="宋体" w:hAnsi="宋体" w:eastAsia="宋体" w:cs="宋体"/>
                <w:color w:val="000000"/>
                <w:kern w:val="0"/>
                <w:szCs w:val="21"/>
              </w:rPr>
            </w:pPr>
            <w:r>
              <w:rPr>
                <w:rFonts w:hint="eastAsia" w:ascii="宋体" w:hAnsi="宋体" w:eastAsia="宋体"/>
                <w:kern w:val="0"/>
                <w:szCs w:val="21"/>
              </w:rPr>
              <w:t>JT 2024-24</w:t>
            </w:r>
          </w:p>
        </w:tc>
        <w:tc>
          <w:tcPr>
            <w:tcW w:w="1560" w:type="dxa"/>
            <w:vAlign w:val="center"/>
          </w:tcPr>
          <w:p>
            <w:pPr>
              <w:rPr>
                <w:rFonts w:hint="eastAsia" w:ascii="宋体" w:hAnsi="宋体" w:eastAsia="宋体" w:cs="Times New Roman"/>
                <w:kern w:val="0"/>
                <w:szCs w:val="21"/>
              </w:rPr>
            </w:pPr>
            <w:r>
              <w:rPr>
                <w:rFonts w:ascii="宋体" w:hAnsi="宋体" w:eastAsia="宋体" w:cs="Times New Roman"/>
                <w:kern w:val="0"/>
                <w:szCs w:val="21"/>
              </w:rPr>
              <w:t>交通建设工程电子证照 第3部分：交通运输工程造价工程师注册证书</w:t>
            </w:r>
          </w:p>
        </w:tc>
        <w:tc>
          <w:tcPr>
            <w:tcW w:w="5528" w:type="dxa"/>
            <w:vAlign w:val="center"/>
          </w:tcPr>
          <w:p>
            <w:pPr>
              <w:rPr>
                <w:rFonts w:hint="eastAsia" w:ascii="宋体" w:hAnsi="宋体" w:eastAsia="宋体" w:cs="Times New Roman"/>
                <w:kern w:val="0"/>
                <w:szCs w:val="21"/>
              </w:rPr>
            </w:pPr>
            <w:r>
              <w:rPr>
                <w:rFonts w:ascii="宋体" w:hAnsi="宋体" w:eastAsia="宋体" w:cs="Times New Roman"/>
                <w:kern w:val="0"/>
                <w:szCs w:val="21"/>
              </w:rPr>
              <w:t>拟规定交通运输工程造价工程师注册证书电子证照文件要求、外观样式及信息内容。</w:t>
            </w:r>
          </w:p>
          <w:p>
            <w:pPr>
              <w:rPr>
                <w:rFonts w:hint="eastAsia" w:ascii="宋体" w:hAnsi="宋体" w:eastAsia="宋体" w:cs="Times New Roman"/>
                <w:kern w:val="0"/>
                <w:szCs w:val="21"/>
              </w:rPr>
            </w:pPr>
            <w:r>
              <w:rPr>
                <w:rFonts w:ascii="宋体" w:hAnsi="宋体" w:eastAsia="宋体" w:cs="Times New Roman"/>
                <w:kern w:val="0"/>
                <w:szCs w:val="21"/>
              </w:rPr>
              <w:t>适用于交通运输工程造价工程师注册证书电子证照的生成、数据处理、交换与共享。</w:t>
            </w:r>
          </w:p>
        </w:tc>
        <w:tc>
          <w:tcPr>
            <w:tcW w:w="709" w:type="dxa"/>
            <w:vAlign w:val="center"/>
          </w:tcPr>
          <w:p>
            <w:pPr>
              <w:jc w:val="center"/>
              <w:rPr>
                <w:rFonts w:hint="eastAsia" w:ascii="宋体" w:hAnsi="宋体" w:eastAsia="宋体" w:cs="宋体"/>
                <w:kern w:val="0"/>
                <w:szCs w:val="21"/>
              </w:rPr>
            </w:pPr>
            <w:r>
              <w:rPr>
                <w:rFonts w:hint="eastAsia" w:ascii="宋体" w:hAnsi="宋体" w:eastAsia="宋体" w:cs="宋体"/>
                <w:kern w:val="0"/>
                <w:szCs w:val="21"/>
              </w:rPr>
              <w:t>制定</w:t>
            </w:r>
          </w:p>
        </w:tc>
        <w:tc>
          <w:tcPr>
            <w:tcW w:w="1121" w:type="dxa"/>
            <w:vAlign w:val="center"/>
          </w:tcPr>
          <w:p>
            <w:pPr>
              <w:jc w:val="center"/>
              <w:rPr>
                <w:rFonts w:hint="eastAsia" w:ascii="宋体" w:hAnsi="宋体" w:eastAsia="宋体" w:cs="宋体"/>
                <w:kern w:val="0"/>
                <w:szCs w:val="21"/>
              </w:rPr>
            </w:pPr>
          </w:p>
        </w:tc>
        <w:tc>
          <w:tcPr>
            <w:tcW w:w="846" w:type="dxa"/>
            <w:vAlign w:val="center"/>
          </w:tcPr>
          <w:p>
            <w:pPr>
              <w:jc w:val="center"/>
              <w:rPr>
                <w:rFonts w:hint="eastAsia" w:ascii="宋体" w:hAnsi="宋体" w:eastAsia="宋体" w:cs="宋体"/>
                <w:kern w:val="0"/>
                <w:szCs w:val="21"/>
              </w:rPr>
            </w:pPr>
            <w:r>
              <w:rPr>
                <w:rFonts w:ascii="宋体" w:hAnsi="宋体" w:eastAsia="宋体" w:cs="宋体"/>
                <w:kern w:val="0"/>
                <w:szCs w:val="21"/>
              </w:rPr>
              <w:t>12</w:t>
            </w:r>
          </w:p>
        </w:tc>
        <w:tc>
          <w:tcPr>
            <w:tcW w:w="988" w:type="dxa"/>
            <w:vAlign w:val="center"/>
          </w:tcPr>
          <w:p>
            <w:pPr>
              <w:jc w:val="center"/>
              <w:rPr>
                <w:rFonts w:hint="eastAsia" w:ascii="宋体" w:hAnsi="宋体" w:eastAsia="宋体" w:cs="宋体"/>
                <w:kern w:val="0"/>
                <w:szCs w:val="21"/>
              </w:rPr>
            </w:pPr>
            <w:r>
              <w:rPr>
                <w:rFonts w:ascii="宋体" w:hAnsi="宋体" w:eastAsia="宋体" w:cs="宋体"/>
                <w:kern w:val="0"/>
                <w:szCs w:val="21"/>
              </w:rPr>
              <w:t>信息通导标委会</w:t>
            </w:r>
          </w:p>
        </w:tc>
        <w:tc>
          <w:tcPr>
            <w:tcW w:w="2799" w:type="dxa"/>
            <w:vAlign w:val="center"/>
          </w:tcPr>
          <w:p>
            <w:pPr>
              <w:rPr>
                <w:rFonts w:hint="eastAsia" w:ascii="宋体" w:hAnsi="宋体" w:eastAsia="宋体" w:cs="宋体"/>
                <w:kern w:val="0"/>
                <w:szCs w:val="21"/>
              </w:rPr>
            </w:pPr>
            <w:r>
              <w:rPr>
                <w:rFonts w:ascii="宋体" w:hAnsi="宋体" w:eastAsia="宋体" w:cs="宋体"/>
                <w:kern w:val="0"/>
                <w:szCs w:val="21"/>
              </w:rPr>
              <w:t>交通运输部职业资格中心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568" w:hRule="atLeast"/>
        </w:trPr>
        <w:tc>
          <w:tcPr>
            <w:tcW w:w="562" w:type="dxa"/>
            <w:vAlign w:val="center"/>
          </w:tcPr>
          <w:p>
            <w:pPr>
              <w:jc w:val="center"/>
              <w:rPr>
                <w:rFonts w:hint="eastAsia" w:ascii="宋体" w:hAnsi="宋体" w:eastAsia="宋体" w:cs="Times New Roman"/>
                <w:bCs/>
                <w:kern w:val="0"/>
                <w:szCs w:val="21"/>
              </w:rPr>
            </w:pPr>
            <w:r>
              <w:rPr>
                <w:rFonts w:hint="eastAsia" w:ascii="宋体" w:hAnsi="宋体" w:eastAsia="宋体" w:cs="Times New Roman"/>
                <w:bCs/>
                <w:kern w:val="0"/>
                <w:szCs w:val="21"/>
              </w:rPr>
              <w:t>25</w:t>
            </w:r>
          </w:p>
        </w:tc>
        <w:tc>
          <w:tcPr>
            <w:tcW w:w="1134" w:type="dxa"/>
            <w:vAlign w:val="center"/>
          </w:tcPr>
          <w:p>
            <w:pPr>
              <w:jc w:val="center"/>
              <w:rPr>
                <w:rFonts w:hint="eastAsia" w:ascii="宋体" w:hAnsi="宋体" w:eastAsia="宋体" w:cs="宋体"/>
                <w:color w:val="000000"/>
                <w:kern w:val="0"/>
                <w:szCs w:val="21"/>
              </w:rPr>
            </w:pPr>
            <w:r>
              <w:rPr>
                <w:rFonts w:hint="eastAsia" w:ascii="宋体" w:hAnsi="宋体" w:eastAsia="宋体"/>
                <w:kern w:val="0"/>
                <w:szCs w:val="21"/>
              </w:rPr>
              <w:t>JT 2024-25</w:t>
            </w:r>
          </w:p>
        </w:tc>
        <w:tc>
          <w:tcPr>
            <w:tcW w:w="1560" w:type="dxa"/>
            <w:vAlign w:val="center"/>
          </w:tcPr>
          <w:p>
            <w:pPr>
              <w:rPr>
                <w:rFonts w:hint="eastAsia" w:ascii="宋体" w:hAnsi="宋体" w:eastAsia="宋体" w:cs="Times New Roman"/>
                <w:kern w:val="0"/>
                <w:szCs w:val="21"/>
              </w:rPr>
            </w:pPr>
            <w:r>
              <w:rPr>
                <w:rFonts w:ascii="宋体" w:hAnsi="宋体" w:eastAsia="宋体" w:cs="Times New Roman"/>
                <w:kern w:val="0"/>
                <w:szCs w:val="21"/>
              </w:rPr>
              <w:t>交通地理信息数据服务技术规范</w:t>
            </w:r>
          </w:p>
        </w:tc>
        <w:tc>
          <w:tcPr>
            <w:tcW w:w="5528" w:type="dxa"/>
            <w:vAlign w:val="center"/>
          </w:tcPr>
          <w:p>
            <w:pPr>
              <w:rPr>
                <w:rFonts w:hint="eastAsia" w:ascii="宋体" w:hAnsi="宋体" w:eastAsia="宋体" w:cs="Times New Roman"/>
                <w:kern w:val="0"/>
                <w:szCs w:val="21"/>
              </w:rPr>
            </w:pPr>
            <w:r>
              <w:rPr>
                <w:rFonts w:ascii="宋体" w:hAnsi="宋体" w:eastAsia="宋体" w:cs="Times New Roman"/>
                <w:kern w:val="0"/>
                <w:szCs w:val="21"/>
              </w:rPr>
              <w:t>拟规定交通地理信息数据服务的命名规则、服务分类、服务调用方式和数据更新要求。</w:t>
            </w:r>
          </w:p>
          <w:p>
            <w:pPr>
              <w:rPr>
                <w:rFonts w:hint="eastAsia" w:ascii="宋体" w:hAnsi="宋体" w:eastAsia="宋体" w:cs="Times New Roman"/>
                <w:kern w:val="0"/>
                <w:szCs w:val="21"/>
              </w:rPr>
            </w:pPr>
            <w:r>
              <w:rPr>
                <w:rFonts w:ascii="宋体" w:hAnsi="宋体" w:eastAsia="宋体" w:cs="Times New Roman"/>
                <w:kern w:val="0"/>
                <w:szCs w:val="21"/>
              </w:rPr>
              <w:t>适用于信息系统中交通地理信息数据服务的发布、调用、数据更新和标准化管理，其他地理信息数据服务的发布、调用和数据更新参照使用。</w:t>
            </w:r>
          </w:p>
        </w:tc>
        <w:tc>
          <w:tcPr>
            <w:tcW w:w="709" w:type="dxa"/>
            <w:vAlign w:val="center"/>
          </w:tcPr>
          <w:p>
            <w:pPr>
              <w:jc w:val="center"/>
              <w:rPr>
                <w:rFonts w:hint="eastAsia" w:ascii="宋体" w:hAnsi="宋体" w:eastAsia="宋体" w:cs="宋体"/>
                <w:kern w:val="0"/>
                <w:szCs w:val="21"/>
              </w:rPr>
            </w:pPr>
            <w:r>
              <w:rPr>
                <w:rFonts w:hint="eastAsia" w:ascii="宋体" w:hAnsi="宋体" w:eastAsia="宋体" w:cs="宋体"/>
                <w:kern w:val="0"/>
                <w:szCs w:val="21"/>
              </w:rPr>
              <w:t>制定</w:t>
            </w:r>
          </w:p>
        </w:tc>
        <w:tc>
          <w:tcPr>
            <w:tcW w:w="1121" w:type="dxa"/>
            <w:vAlign w:val="center"/>
          </w:tcPr>
          <w:p>
            <w:pPr>
              <w:jc w:val="center"/>
              <w:rPr>
                <w:rFonts w:hint="eastAsia" w:ascii="宋体" w:hAnsi="宋体" w:eastAsia="宋体" w:cs="宋体"/>
                <w:kern w:val="0"/>
                <w:szCs w:val="21"/>
              </w:rPr>
            </w:pPr>
          </w:p>
        </w:tc>
        <w:tc>
          <w:tcPr>
            <w:tcW w:w="846" w:type="dxa"/>
            <w:vAlign w:val="center"/>
          </w:tcPr>
          <w:p>
            <w:pPr>
              <w:jc w:val="center"/>
              <w:rPr>
                <w:rFonts w:hint="eastAsia" w:ascii="宋体" w:hAnsi="宋体" w:eastAsia="宋体" w:cs="宋体"/>
                <w:kern w:val="0"/>
                <w:szCs w:val="21"/>
              </w:rPr>
            </w:pPr>
            <w:r>
              <w:rPr>
                <w:rFonts w:ascii="宋体" w:hAnsi="宋体" w:eastAsia="宋体" w:cs="宋体"/>
                <w:kern w:val="0"/>
                <w:szCs w:val="21"/>
              </w:rPr>
              <w:t>12</w:t>
            </w:r>
          </w:p>
        </w:tc>
        <w:tc>
          <w:tcPr>
            <w:tcW w:w="988" w:type="dxa"/>
            <w:vAlign w:val="center"/>
          </w:tcPr>
          <w:p>
            <w:pPr>
              <w:jc w:val="center"/>
              <w:rPr>
                <w:rFonts w:hint="eastAsia" w:ascii="宋体" w:hAnsi="宋体" w:eastAsia="宋体" w:cs="宋体"/>
                <w:kern w:val="0"/>
                <w:szCs w:val="21"/>
              </w:rPr>
            </w:pPr>
            <w:r>
              <w:rPr>
                <w:rFonts w:ascii="宋体" w:hAnsi="宋体" w:eastAsia="宋体" w:cs="宋体"/>
                <w:kern w:val="0"/>
                <w:szCs w:val="21"/>
              </w:rPr>
              <w:t>信息通导标委会</w:t>
            </w:r>
          </w:p>
        </w:tc>
        <w:tc>
          <w:tcPr>
            <w:tcW w:w="2799" w:type="dxa"/>
            <w:vAlign w:val="center"/>
          </w:tcPr>
          <w:p>
            <w:pPr>
              <w:rPr>
                <w:rFonts w:hint="eastAsia" w:ascii="宋体" w:hAnsi="宋体" w:eastAsia="宋体" w:cs="宋体"/>
                <w:kern w:val="0"/>
                <w:szCs w:val="21"/>
              </w:rPr>
            </w:pPr>
            <w:r>
              <w:rPr>
                <w:rFonts w:ascii="宋体" w:hAnsi="宋体" w:eastAsia="宋体" w:cs="宋体"/>
                <w:kern w:val="0"/>
                <w:szCs w:val="21"/>
              </w:rPr>
              <w:t>交通运输部科学研究院</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568" w:hRule="atLeast"/>
        </w:trPr>
        <w:tc>
          <w:tcPr>
            <w:tcW w:w="562" w:type="dxa"/>
            <w:vAlign w:val="center"/>
          </w:tcPr>
          <w:p>
            <w:pPr>
              <w:jc w:val="center"/>
              <w:rPr>
                <w:rFonts w:hint="eastAsia" w:ascii="宋体" w:hAnsi="宋体" w:eastAsia="宋体" w:cs="Times New Roman"/>
                <w:bCs/>
                <w:kern w:val="0"/>
                <w:szCs w:val="21"/>
              </w:rPr>
            </w:pPr>
            <w:r>
              <w:rPr>
                <w:rFonts w:hint="eastAsia" w:ascii="宋体" w:hAnsi="宋体" w:eastAsia="宋体" w:cs="Times New Roman"/>
                <w:bCs/>
                <w:kern w:val="0"/>
                <w:szCs w:val="21"/>
              </w:rPr>
              <w:t>26</w:t>
            </w:r>
          </w:p>
        </w:tc>
        <w:tc>
          <w:tcPr>
            <w:tcW w:w="1134" w:type="dxa"/>
            <w:vAlign w:val="center"/>
          </w:tcPr>
          <w:p>
            <w:pPr>
              <w:jc w:val="center"/>
              <w:rPr>
                <w:rFonts w:hint="eastAsia" w:ascii="宋体" w:hAnsi="宋体" w:eastAsia="宋体" w:cs="宋体"/>
                <w:color w:val="000000"/>
                <w:kern w:val="0"/>
                <w:szCs w:val="21"/>
              </w:rPr>
            </w:pPr>
            <w:r>
              <w:rPr>
                <w:rFonts w:hint="eastAsia" w:ascii="宋体" w:hAnsi="宋体" w:eastAsia="宋体"/>
                <w:kern w:val="0"/>
                <w:szCs w:val="21"/>
              </w:rPr>
              <w:t>JT 2024-26</w:t>
            </w:r>
          </w:p>
        </w:tc>
        <w:tc>
          <w:tcPr>
            <w:tcW w:w="1560" w:type="dxa"/>
            <w:vAlign w:val="center"/>
          </w:tcPr>
          <w:p>
            <w:pPr>
              <w:rPr>
                <w:rFonts w:hint="eastAsia" w:ascii="宋体" w:hAnsi="宋体" w:eastAsia="宋体" w:cs="Times New Roman"/>
                <w:kern w:val="0"/>
                <w:szCs w:val="21"/>
              </w:rPr>
            </w:pPr>
            <w:r>
              <w:rPr>
                <w:rFonts w:ascii="宋体" w:hAnsi="宋体" w:eastAsia="宋体" w:cs="Times New Roman"/>
                <w:kern w:val="0"/>
                <w:szCs w:val="21"/>
              </w:rPr>
              <w:t>公路安全预警与应急信息管理要求</w:t>
            </w:r>
          </w:p>
        </w:tc>
        <w:tc>
          <w:tcPr>
            <w:tcW w:w="5528" w:type="dxa"/>
            <w:vAlign w:val="center"/>
          </w:tcPr>
          <w:p>
            <w:pPr>
              <w:rPr>
                <w:rFonts w:hint="eastAsia" w:ascii="宋体" w:hAnsi="宋体" w:eastAsia="宋体" w:cs="Times New Roman"/>
                <w:kern w:val="0"/>
                <w:szCs w:val="21"/>
              </w:rPr>
            </w:pPr>
            <w:r>
              <w:rPr>
                <w:rFonts w:ascii="宋体" w:hAnsi="宋体" w:eastAsia="宋体" w:cs="Times New Roman"/>
                <w:kern w:val="0"/>
                <w:szCs w:val="21"/>
              </w:rPr>
              <w:t>拟规定公路安全预警与应急的</w:t>
            </w:r>
            <w:r>
              <w:rPr>
                <w:rFonts w:hint="eastAsia" w:ascii="宋体" w:hAnsi="宋体" w:eastAsia="宋体" w:cs="Times New Roman"/>
                <w:kern w:val="0"/>
                <w:szCs w:val="21"/>
              </w:rPr>
              <w:t>体系</w:t>
            </w:r>
            <w:r>
              <w:rPr>
                <w:rFonts w:ascii="宋体" w:hAnsi="宋体" w:eastAsia="宋体" w:cs="Times New Roman"/>
                <w:kern w:val="0"/>
                <w:szCs w:val="21"/>
              </w:rPr>
              <w:t>架构</w:t>
            </w:r>
            <w:r>
              <w:rPr>
                <w:rFonts w:hint="eastAsia" w:ascii="宋体" w:hAnsi="宋体" w:eastAsia="宋体" w:cs="Times New Roman"/>
                <w:kern w:val="0"/>
                <w:szCs w:val="21"/>
              </w:rPr>
              <w:t>、基本</w:t>
            </w:r>
            <w:r>
              <w:rPr>
                <w:rFonts w:ascii="宋体" w:hAnsi="宋体" w:eastAsia="宋体" w:cs="Times New Roman"/>
                <w:kern w:val="0"/>
                <w:szCs w:val="21"/>
              </w:rPr>
              <w:t>要求，以及公路安全预警、应急处置、应急队伍、应急装备物资、应急预案制修订、应急培训与演练</w:t>
            </w:r>
            <w:r>
              <w:rPr>
                <w:rFonts w:hint="eastAsia" w:ascii="宋体" w:hAnsi="宋体" w:eastAsia="宋体" w:cs="Times New Roman"/>
                <w:kern w:val="0"/>
                <w:szCs w:val="21"/>
              </w:rPr>
              <w:t>和</w:t>
            </w:r>
            <w:r>
              <w:rPr>
                <w:rFonts w:ascii="宋体" w:hAnsi="宋体" w:eastAsia="宋体" w:cs="Times New Roman"/>
                <w:kern w:val="0"/>
                <w:szCs w:val="21"/>
              </w:rPr>
              <w:t>车辆应急救援</w:t>
            </w:r>
            <w:r>
              <w:rPr>
                <w:rFonts w:hint="eastAsia" w:ascii="宋体" w:hAnsi="宋体" w:eastAsia="宋体" w:cs="Times New Roman"/>
                <w:kern w:val="0"/>
                <w:szCs w:val="21"/>
              </w:rPr>
              <w:t>的</w:t>
            </w:r>
            <w:r>
              <w:rPr>
                <w:rFonts w:ascii="宋体" w:hAnsi="宋体" w:eastAsia="宋体" w:cs="Times New Roman"/>
                <w:kern w:val="0"/>
                <w:szCs w:val="21"/>
              </w:rPr>
              <w:t>信息管理要求。</w:t>
            </w:r>
          </w:p>
          <w:p>
            <w:pPr>
              <w:rPr>
                <w:rFonts w:hint="eastAsia" w:ascii="宋体" w:hAnsi="宋体" w:eastAsia="宋体" w:cs="Times New Roman"/>
                <w:kern w:val="0"/>
                <w:szCs w:val="21"/>
              </w:rPr>
            </w:pPr>
            <w:r>
              <w:rPr>
                <w:rFonts w:ascii="宋体" w:hAnsi="宋体" w:eastAsia="宋体" w:cs="Times New Roman"/>
                <w:kern w:val="0"/>
                <w:szCs w:val="21"/>
              </w:rPr>
              <w:t>适用于</w:t>
            </w:r>
            <w:r>
              <w:rPr>
                <w:rFonts w:hint="eastAsia" w:ascii="宋体" w:hAnsi="宋体" w:eastAsia="宋体" w:cs="Times New Roman"/>
                <w:kern w:val="0"/>
                <w:szCs w:val="21"/>
              </w:rPr>
              <w:t>高速公路、普通干线公路的管理和运营单位</w:t>
            </w:r>
            <w:r>
              <w:rPr>
                <w:rFonts w:ascii="宋体" w:hAnsi="宋体" w:eastAsia="宋体" w:cs="Times New Roman"/>
                <w:kern w:val="0"/>
                <w:szCs w:val="21"/>
              </w:rPr>
              <w:t>开展公路安全预警与应急</w:t>
            </w:r>
            <w:r>
              <w:rPr>
                <w:rFonts w:hint="eastAsia" w:ascii="宋体" w:hAnsi="宋体" w:eastAsia="宋体" w:cs="Times New Roman"/>
                <w:kern w:val="0"/>
                <w:szCs w:val="21"/>
              </w:rPr>
              <w:t>信息管理</w:t>
            </w:r>
            <w:r>
              <w:rPr>
                <w:rFonts w:ascii="宋体" w:hAnsi="宋体" w:eastAsia="宋体" w:cs="Times New Roman"/>
                <w:kern w:val="0"/>
                <w:szCs w:val="21"/>
              </w:rPr>
              <w:t>工作</w:t>
            </w:r>
            <w:r>
              <w:rPr>
                <w:rFonts w:hint="eastAsia" w:ascii="宋体" w:hAnsi="宋体" w:eastAsia="宋体" w:cs="Times New Roman"/>
                <w:kern w:val="0"/>
                <w:szCs w:val="21"/>
              </w:rPr>
              <w:t>，农村公路的管理单位开展公路安全预警与应急信息管理工作参照使用</w:t>
            </w:r>
            <w:r>
              <w:rPr>
                <w:rFonts w:ascii="宋体" w:hAnsi="宋体" w:eastAsia="宋体" w:cs="Times New Roman"/>
                <w:kern w:val="0"/>
                <w:szCs w:val="21"/>
              </w:rPr>
              <w:t>。</w:t>
            </w:r>
          </w:p>
        </w:tc>
        <w:tc>
          <w:tcPr>
            <w:tcW w:w="709" w:type="dxa"/>
            <w:vAlign w:val="center"/>
          </w:tcPr>
          <w:p>
            <w:pPr>
              <w:jc w:val="center"/>
              <w:rPr>
                <w:rFonts w:hint="eastAsia" w:ascii="宋体" w:hAnsi="宋体" w:eastAsia="宋体" w:cs="宋体"/>
                <w:kern w:val="0"/>
                <w:szCs w:val="21"/>
              </w:rPr>
            </w:pPr>
            <w:r>
              <w:rPr>
                <w:rFonts w:hint="eastAsia" w:ascii="宋体" w:hAnsi="宋体" w:eastAsia="宋体" w:cs="宋体"/>
                <w:kern w:val="0"/>
                <w:szCs w:val="21"/>
              </w:rPr>
              <w:t>制定</w:t>
            </w:r>
          </w:p>
        </w:tc>
        <w:tc>
          <w:tcPr>
            <w:tcW w:w="1121" w:type="dxa"/>
            <w:vAlign w:val="center"/>
          </w:tcPr>
          <w:p>
            <w:pPr>
              <w:jc w:val="center"/>
              <w:rPr>
                <w:rFonts w:hint="eastAsia" w:ascii="宋体" w:hAnsi="宋体" w:eastAsia="宋体" w:cs="宋体"/>
                <w:kern w:val="0"/>
                <w:szCs w:val="21"/>
              </w:rPr>
            </w:pPr>
          </w:p>
        </w:tc>
        <w:tc>
          <w:tcPr>
            <w:tcW w:w="846" w:type="dxa"/>
            <w:vAlign w:val="center"/>
          </w:tcPr>
          <w:p>
            <w:pPr>
              <w:jc w:val="center"/>
              <w:rPr>
                <w:rFonts w:hint="eastAsia" w:ascii="宋体" w:hAnsi="宋体" w:eastAsia="宋体" w:cs="宋体"/>
                <w:kern w:val="0"/>
                <w:szCs w:val="21"/>
              </w:rPr>
            </w:pPr>
            <w:r>
              <w:rPr>
                <w:rFonts w:ascii="宋体" w:hAnsi="宋体" w:eastAsia="宋体" w:cs="宋体"/>
                <w:kern w:val="0"/>
                <w:szCs w:val="21"/>
              </w:rPr>
              <w:t>12</w:t>
            </w:r>
          </w:p>
        </w:tc>
        <w:tc>
          <w:tcPr>
            <w:tcW w:w="988" w:type="dxa"/>
            <w:vAlign w:val="center"/>
          </w:tcPr>
          <w:p>
            <w:pPr>
              <w:jc w:val="center"/>
              <w:rPr>
                <w:rFonts w:hint="eastAsia" w:ascii="宋体" w:hAnsi="宋体" w:eastAsia="宋体" w:cs="宋体"/>
                <w:kern w:val="0"/>
                <w:szCs w:val="21"/>
              </w:rPr>
            </w:pPr>
            <w:r>
              <w:rPr>
                <w:rFonts w:ascii="宋体" w:hAnsi="宋体" w:eastAsia="宋体" w:cs="宋体"/>
                <w:kern w:val="0"/>
                <w:szCs w:val="21"/>
              </w:rPr>
              <w:t>信息通导标委会</w:t>
            </w:r>
          </w:p>
        </w:tc>
        <w:tc>
          <w:tcPr>
            <w:tcW w:w="2799" w:type="dxa"/>
            <w:vAlign w:val="center"/>
          </w:tcPr>
          <w:p>
            <w:pPr>
              <w:rPr>
                <w:rFonts w:hint="eastAsia" w:ascii="宋体" w:hAnsi="宋体" w:eastAsia="宋体" w:cs="宋体"/>
                <w:kern w:val="0"/>
                <w:szCs w:val="21"/>
              </w:rPr>
            </w:pPr>
            <w:r>
              <w:rPr>
                <w:rFonts w:ascii="宋体" w:hAnsi="宋体" w:eastAsia="宋体" w:cs="宋体"/>
                <w:kern w:val="0"/>
                <w:szCs w:val="21"/>
              </w:rPr>
              <w:t>交通运输部路网监测与应急处置中心、交通运输部科学研究院、行云数聚（北京）科技有限公司、北京新桥技术发展有限公司、四川省公路交通应急装备物资储备中心、江苏高速公路联网营运管理有限公司、广西计算中心有限责任公司</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568" w:hRule="atLeast"/>
        </w:trPr>
        <w:tc>
          <w:tcPr>
            <w:tcW w:w="562" w:type="dxa"/>
            <w:vAlign w:val="center"/>
          </w:tcPr>
          <w:p>
            <w:pPr>
              <w:jc w:val="center"/>
              <w:rPr>
                <w:rFonts w:hint="eastAsia" w:ascii="宋体" w:hAnsi="宋体" w:eastAsia="宋体" w:cs="Times New Roman"/>
                <w:bCs/>
                <w:kern w:val="0"/>
                <w:szCs w:val="21"/>
              </w:rPr>
            </w:pPr>
            <w:r>
              <w:rPr>
                <w:rFonts w:hint="eastAsia" w:ascii="宋体" w:hAnsi="宋体" w:eastAsia="宋体" w:cs="Times New Roman"/>
                <w:bCs/>
                <w:kern w:val="0"/>
                <w:szCs w:val="21"/>
              </w:rPr>
              <w:t>27</w:t>
            </w:r>
          </w:p>
        </w:tc>
        <w:tc>
          <w:tcPr>
            <w:tcW w:w="1134" w:type="dxa"/>
            <w:vAlign w:val="center"/>
          </w:tcPr>
          <w:p>
            <w:pPr>
              <w:jc w:val="center"/>
              <w:rPr>
                <w:rFonts w:hint="eastAsia" w:ascii="宋体" w:hAnsi="宋体" w:eastAsia="宋体" w:cs="宋体"/>
                <w:color w:val="000000"/>
                <w:kern w:val="0"/>
                <w:szCs w:val="21"/>
              </w:rPr>
            </w:pPr>
            <w:r>
              <w:rPr>
                <w:rFonts w:hint="eastAsia" w:ascii="宋体" w:hAnsi="宋体" w:eastAsia="宋体"/>
                <w:kern w:val="0"/>
                <w:szCs w:val="21"/>
              </w:rPr>
              <w:t>JT 2024-27</w:t>
            </w:r>
          </w:p>
        </w:tc>
        <w:tc>
          <w:tcPr>
            <w:tcW w:w="1560" w:type="dxa"/>
            <w:vAlign w:val="center"/>
          </w:tcPr>
          <w:p>
            <w:pPr>
              <w:rPr>
                <w:rFonts w:hint="eastAsia" w:ascii="宋体" w:hAnsi="宋体" w:eastAsia="宋体" w:cs="Times New Roman"/>
                <w:kern w:val="0"/>
                <w:szCs w:val="21"/>
              </w:rPr>
            </w:pPr>
            <w:r>
              <w:rPr>
                <w:rFonts w:ascii="宋体" w:hAnsi="宋体" w:eastAsia="宋体" w:cs="Times New Roman"/>
                <w:kern w:val="0"/>
                <w:szCs w:val="21"/>
              </w:rPr>
              <w:t>航运大数据平台技术架构总体要求</w:t>
            </w:r>
          </w:p>
        </w:tc>
        <w:tc>
          <w:tcPr>
            <w:tcW w:w="5528" w:type="dxa"/>
            <w:vAlign w:val="center"/>
          </w:tcPr>
          <w:p>
            <w:pPr>
              <w:rPr>
                <w:rFonts w:hint="eastAsia" w:ascii="宋体" w:hAnsi="宋体" w:eastAsia="宋体" w:cs="Times New Roman"/>
                <w:kern w:val="0"/>
                <w:szCs w:val="21"/>
              </w:rPr>
            </w:pPr>
            <w:r>
              <w:rPr>
                <w:rFonts w:ascii="宋体" w:hAnsi="宋体" w:eastAsia="宋体" w:cs="Times New Roman"/>
                <w:kern w:val="0"/>
                <w:szCs w:val="21"/>
              </w:rPr>
              <w:t>拟规定智慧航运大数据平台的总体架构、数据架构、功能要求和性能要求。</w:t>
            </w:r>
          </w:p>
          <w:p>
            <w:pPr>
              <w:rPr>
                <w:rFonts w:hint="eastAsia" w:ascii="宋体" w:hAnsi="宋体" w:eastAsia="宋体" w:cs="Times New Roman"/>
                <w:kern w:val="0"/>
                <w:szCs w:val="21"/>
              </w:rPr>
            </w:pPr>
            <w:r>
              <w:rPr>
                <w:rFonts w:ascii="宋体" w:hAnsi="宋体" w:eastAsia="宋体" w:cs="Times New Roman"/>
                <w:kern w:val="0"/>
                <w:szCs w:val="21"/>
              </w:rPr>
              <w:t>适用于航运、港口、货运代理等航运产业链领域内企业或相关管理单位大数据平台的规划、设计、建设和管理。</w:t>
            </w:r>
          </w:p>
        </w:tc>
        <w:tc>
          <w:tcPr>
            <w:tcW w:w="709" w:type="dxa"/>
            <w:vAlign w:val="center"/>
          </w:tcPr>
          <w:p>
            <w:pPr>
              <w:jc w:val="center"/>
              <w:rPr>
                <w:rFonts w:hint="eastAsia" w:ascii="宋体" w:hAnsi="宋体" w:eastAsia="宋体" w:cs="宋体"/>
                <w:kern w:val="0"/>
                <w:szCs w:val="21"/>
              </w:rPr>
            </w:pPr>
            <w:r>
              <w:rPr>
                <w:rFonts w:hint="eastAsia" w:ascii="宋体" w:hAnsi="宋体" w:eastAsia="宋体" w:cs="宋体"/>
                <w:kern w:val="0"/>
                <w:szCs w:val="21"/>
              </w:rPr>
              <w:t>制定</w:t>
            </w:r>
          </w:p>
        </w:tc>
        <w:tc>
          <w:tcPr>
            <w:tcW w:w="1121" w:type="dxa"/>
            <w:vAlign w:val="center"/>
          </w:tcPr>
          <w:p>
            <w:pPr>
              <w:jc w:val="center"/>
              <w:rPr>
                <w:rFonts w:hint="eastAsia" w:ascii="宋体" w:hAnsi="宋体" w:eastAsia="宋体" w:cs="宋体"/>
                <w:kern w:val="0"/>
                <w:szCs w:val="21"/>
              </w:rPr>
            </w:pPr>
          </w:p>
        </w:tc>
        <w:tc>
          <w:tcPr>
            <w:tcW w:w="846" w:type="dxa"/>
            <w:vAlign w:val="center"/>
          </w:tcPr>
          <w:p>
            <w:pPr>
              <w:jc w:val="center"/>
              <w:rPr>
                <w:rFonts w:hint="eastAsia" w:ascii="宋体" w:hAnsi="宋体" w:eastAsia="宋体" w:cs="宋体"/>
                <w:kern w:val="0"/>
                <w:szCs w:val="21"/>
              </w:rPr>
            </w:pPr>
            <w:r>
              <w:rPr>
                <w:rFonts w:ascii="宋体" w:hAnsi="宋体" w:eastAsia="宋体" w:cs="宋体"/>
                <w:kern w:val="0"/>
                <w:szCs w:val="21"/>
              </w:rPr>
              <w:t>12</w:t>
            </w:r>
          </w:p>
        </w:tc>
        <w:tc>
          <w:tcPr>
            <w:tcW w:w="988" w:type="dxa"/>
            <w:vAlign w:val="center"/>
          </w:tcPr>
          <w:p>
            <w:pPr>
              <w:jc w:val="center"/>
              <w:rPr>
                <w:rFonts w:hint="eastAsia" w:ascii="宋体" w:hAnsi="宋体" w:eastAsia="宋体" w:cs="宋体"/>
                <w:kern w:val="0"/>
                <w:szCs w:val="21"/>
              </w:rPr>
            </w:pPr>
            <w:r>
              <w:rPr>
                <w:rFonts w:ascii="宋体" w:hAnsi="宋体" w:eastAsia="宋体" w:cs="宋体"/>
                <w:kern w:val="0"/>
                <w:szCs w:val="21"/>
              </w:rPr>
              <w:t>信息通导标委会</w:t>
            </w:r>
          </w:p>
        </w:tc>
        <w:tc>
          <w:tcPr>
            <w:tcW w:w="2799" w:type="dxa"/>
            <w:vAlign w:val="center"/>
          </w:tcPr>
          <w:p>
            <w:pPr>
              <w:rPr>
                <w:rFonts w:hint="eastAsia" w:ascii="宋体" w:hAnsi="宋体" w:eastAsia="宋体" w:cs="宋体"/>
                <w:kern w:val="0"/>
                <w:szCs w:val="21"/>
              </w:rPr>
            </w:pPr>
            <w:r>
              <w:rPr>
                <w:rFonts w:ascii="宋体" w:hAnsi="宋体" w:eastAsia="宋体" w:cs="宋体"/>
                <w:kern w:val="0"/>
                <w:szCs w:val="21"/>
              </w:rPr>
              <w:t>中远海运科技（北京）有限公司、中国远洋海运集团有限公司、交通运输部科学研究院</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568" w:hRule="atLeast"/>
        </w:trPr>
        <w:tc>
          <w:tcPr>
            <w:tcW w:w="562" w:type="dxa"/>
            <w:vAlign w:val="center"/>
          </w:tcPr>
          <w:p>
            <w:pPr>
              <w:jc w:val="center"/>
              <w:rPr>
                <w:rFonts w:hint="eastAsia" w:ascii="宋体" w:hAnsi="宋体" w:eastAsia="宋体" w:cs="Times New Roman"/>
                <w:bCs/>
                <w:kern w:val="0"/>
                <w:szCs w:val="21"/>
              </w:rPr>
            </w:pPr>
            <w:r>
              <w:rPr>
                <w:rFonts w:hint="eastAsia" w:ascii="宋体" w:hAnsi="宋体" w:eastAsia="宋体" w:cs="Times New Roman"/>
                <w:bCs/>
                <w:kern w:val="0"/>
                <w:szCs w:val="21"/>
              </w:rPr>
              <w:t>28</w:t>
            </w:r>
          </w:p>
        </w:tc>
        <w:tc>
          <w:tcPr>
            <w:tcW w:w="1134" w:type="dxa"/>
            <w:vAlign w:val="center"/>
          </w:tcPr>
          <w:p>
            <w:pPr>
              <w:jc w:val="center"/>
              <w:rPr>
                <w:rFonts w:hint="eastAsia" w:ascii="宋体" w:hAnsi="宋体" w:eastAsia="宋体" w:cs="宋体"/>
                <w:color w:val="000000"/>
                <w:kern w:val="0"/>
                <w:szCs w:val="21"/>
              </w:rPr>
            </w:pPr>
            <w:r>
              <w:rPr>
                <w:rFonts w:hint="eastAsia" w:ascii="宋体" w:hAnsi="宋体" w:eastAsia="宋体"/>
                <w:kern w:val="0"/>
                <w:szCs w:val="21"/>
              </w:rPr>
              <w:t>JT 2024-28</w:t>
            </w:r>
          </w:p>
        </w:tc>
        <w:tc>
          <w:tcPr>
            <w:tcW w:w="1560" w:type="dxa"/>
            <w:vAlign w:val="center"/>
          </w:tcPr>
          <w:p>
            <w:pPr>
              <w:rPr>
                <w:rFonts w:hint="eastAsia" w:ascii="宋体" w:hAnsi="宋体" w:eastAsia="宋体" w:cs="Times New Roman"/>
                <w:kern w:val="0"/>
                <w:szCs w:val="21"/>
              </w:rPr>
            </w:pPr>
            <w:r>
              <w:rPr>
                <w:rFonts w:ascii="宋体" w:hAnsi="宋体" w:eastAsia="宋体" w:cs="Times New Roman"/>
                <w:kern w:val="0"/>
                <w:szCs w:val="21"/>
              </w:rPr>
              <w:t>船闸控制系统安全监控技术规范</w:t>
            </w:r>
          </w:p>
        </w:tc>
        <w:tc>
          <w:tcPr>
            <w:tcW w:w="5528" w:type="dxa"/>
            <w:vAlign w:val="center"/>
          </w:tcPr>
          <w:p>
            <w:pPr>
              <w:rPr>
                <w:rFonts w:hint="eastAsia" w:ascii="宋体" w:hAnsi="宋体" w:eastAsia="宋体" w:cs="Times New Roman"/>
                <w:kern w:val="0"/>
                <w:szCs w:val="21"/>
              </w:rPr>
            </w:pPr>
            <w:r>
              <w:rPr>
                <w:rFonts w:ascii="宋体" w:hAnsi="宋体" w:eastAsia="宋体" w:cs="Times New Roman"/>
                <w:kern w:val="0"/>
                <w:szCs w:val="21"/>
              </w:rPr>
              <w:t>拟规定船闸控制系统的安全监控系统构成、监控、功能要求、性能要求、软硬件组态配置、安全与网络管理及功能测试等。</w:t>
            </w:r>
          </w:p>
          <w:p>
            <w:pPr>
              <w:rPr>
                <w:rFonts w:hint="eastAsia" w:ascii="宋体" w:hAnsi="宋体" w:eastAsia="宋体" w:cs="Times New Roman"/>
                <w:kern w:val="0"/>
                <w:szCs w:val="21"/>
              </w:rPr>
            </w:pPr>
            <w:r>
              <w:rPr>
                <w:rFonts w:ascii="宋体" w:hAnsi="宋体" w:eastAsia="宋体" w:cs="Times New Roman"/>
                <w:kern w:val="0"/>
                <w:szCs w:val="21"/>
              </w:rPr>
              <w:t>适用于新建</w:t>
            </w:r>
            <w:r>
              <w:rPr>
                <w:rFonts w:hint="eastAsia" w:ascii="宋体" w:hAnsi="宋体" w:eastAsia="宋体" w:cs="Times New Roman"/>
                <w:kern w:val="0"/>
                <w:szCs w:val="21"/>
              </w:rPr>
              <w:t>或</w:t>
            </w:r>
            <w:r>
              <w:rPr>
                <w:rFonts w:ascii="宋体" w:hAnsi="宋体" w:eastAsia="宋体" w:cs="Times New Roman"/>
                <w:kern w:val="0"/>
                <w:szCs w:val="21"/>
              </w:rPr>
              <w:t>增建多、单级船闸控制</w:t>
            </w:r>
            <w:r>
              <w:rPr>
                <w:rFonts w:hint="eastAsia" w:ascii="宋体" w:hAnsi="宋体" w:eastAsia="宋体" w:cs="Times New Roman"/>
                <w:kern w:val="0"/>
                <w:szCs w:val="21"/>
              </w:rPr>
              <w:t>安全监控</w:t>
            </w:r>
            <w:r>
              <w:rPr>
                <w:rFonts w:ascii="宋体" w:hAnsi="宋体" w:eastAsia="宋体" w:cs="Times New Roman"/>
                <w:kern w:val="0"/>
                <w:szCs w:val="21"/>
              </w:rPr>
              <w:t>系统的</w:t>
            </w:r>
            <w:r>
              <w:rPr>
                <w:rFonts w:hint="eastAsia" w:ascii="宋体" w:hAnsi="宋体" w:eastAsia="宋体" w:cs="Times New Roman"/>
                <w:kern w:val="0"/>
                <w:szCs w:val="21"/>
              </w:rPr>
              <w:t>设计、开发和测试</w:t>
            </w:r>
            <w:r>
              <w:rPr>
                <w:rFonts w:ascii="宋体" w:hAnsi="宋体" w:eastAsia="宋体" w:cs="Times New Roman"/>
                <w:kern w:val="0"/>
                <w:szCs w:val="21"/>
              </w:rPr>
              <w:t>。</w:t>
            </w:r>
          </w:p>
        </w:tc>
        <w:tc>
          <w:tcPr>
            <w:tcW w:w="709" w:type="dxa"/>
            <w:vAlign w:val="center"/>
          </w:tcPr>
          <w:p>
            <w:pPr>
              <w:jc w:val="center"/>
              <w:rPr>
                <w:rFonts w:hint="eastAsia" w:ascii="宋体" w:hAnsi="宋体" w:eastAsia="宋体" w:cs="宋体"/>
                <w:kern w:val="0"/>
                <w:szCs w:val="21"/>
              </w:rPr>
            </w:pPr>
            <w:r>
              <w:rPr>
                <w:rFonts w:hint="eastAsia" w:ascii="宋体" w:hAnsi="宋体" w:eastAsia="宋体" w:cs="宋体"/>
                <w:kern w:val="0"/>
                <w:szCs w:val="21"/>
              </w:rPr>
              <w:t>制定</w:t>
            </w:r>
          </w:p>
        </w:tc>
        <w:tc>
          <w:tcPr>
            <w:tcW w:w="1121" w:type="dxa"/>
            <w:vAlign w:val="center"/>
          </w:tcPr>
          <w:p>
            <w:pPr>
              <w:jc w:val="center"/>
              <w:rPr>
                <w:rFonts w:hint="eastAsia" w:ascii="宋体" w:hAnsi="宋体" w:eastAsia="宋体" w:cs="宋体"/>
                <w:kern w:val="0"/>
                <w:szCs w:val="21"/>
              </w:rPr>
            </w:pPr>
          </w:p>
        </w:tc>
        <w:tc>
          <w:tcPr>
            <w:tcW w:w="846" w:type="dxa"/>
            <w:vAlign w:val="center"/>
          </w:tcPr>
          <w:p>
            <w:pPr>
              <w:jc w:val="center"/>
              <w:rPr>
                <w:rFonts w:hint="eastAsia" w:ascii="宋体" w:hAnsi="宋体" w:eastAsia="宋体" w:cs="宋体"/>
                <w:kern w:val="0"/>
                <w:szCs w:val="21"/>
              </w:rPr>
            </w:pPr>
            <w:r>
              <w:rPr>
                <w:rFonts w:ascii="宋体" w:hAnsi="宋体" w:eastAsia="宋体" w:cs="宋体"/>
                <w:kern w:val="0"/>
                <w:szCs w:val="21"/>
              </w:rPr>
              <w:t>12</w:t>
            </w:r>
          </w:p>
        </w:tc>
        <w:tc>
          <w:tcPr>
            <w:tcW w:w="988" w:type="dxa"/>
            <w:vAlign w:val="center"/>
          </w:tcPr>
          <w:p>
            <w:pPr>
              <w:jc w:val="center"/>
              <w:rPr>
                <w:rFonts w:hint="eastAsia" w:ascii="宋体" w:hAnsi="宋体" w:eastAsia="宋体" w:cs="宋体"/>
                <w:kern w:val="0"/>
                <w:szCs w:val="21"/>
              </w:rPr>
            </w:pPr>
            <w:r>
              <w:rPr>
                <w:rFonts w:ascii="宋体" w:hAnsi="宋体" w:eastAsia="宋体" w:cs="宋体"/>
                <w:kern w:val="0"/>
                <w:szCs w:val="21"/>
              </w:rPr>
              <w:t>信息通导标委会</w:t>
            </w:r>
          </w:p>
        </w:tc>
        <w:tc>
          <w:tcPr>
            <w:tcW w:w="2799" w:type="dxa"/>
            <w:vAlign w:val="center"/>
          </w:tcPr>
          <w:p>
            <w:pPr>
              <w:rPr>
                <w:rFonts w:hint="eastAsia" w:ascii="宋体" w:hAnsi="宋体" w:eastAsia="宋体" w:cs="宋体"/>
                <w:kern w:val="0"/>
                <w:szCs w:val="21"/>
              </w:rPr>
            </w:pPr>
            <w:r>
              <w:rPr>
                <w:rFonts w:ascii="宋体" w:hAnsi="宋体" w:eastAsia="宋体" w:cs="宋体"/>
                <w:kern w:val="0"/>
                <w:szCs w:val="21"/>
              </w:rPr>
              <w:t>长江三峡通航管理局、交通运输部水运科学研究所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568" w:hRule="atLeast"/>
        </w:trPr>
        <w:tc>
          <w:tcPr>
            <w:tcW w:w="562" w:type="dxa"/>
            <w:vAlign w:val="center"/>
          </w:tcPr>
          <w:p>
            <w:pPr>
              <w:jc w:val="center"/>
              <w:rPr>
                <w:rFonts w:hint="eastAsia" w:ascii="宋体" w:hAnsi="宋体" w:eastAsia="宋体" w:cs="Times New Roman"/>
                <w:bCs/>
                <w:kern w:val="0"/>
                <w:szCs w:val="21"/>
              </w:rPr>
            </w:pPr>
            <w:r>
              <w:rPr>
                <w:rFonts w:hint="eastAsia" w:ascii="宋体" w:hAnsi="宋体" w:eastAsia="宋体" w:cs="Times New Roman"/>
                <w:bCs/>
                <w:kern w:val="0"/>
                <w:szCs w:val="21"/>
              </w:rPr>
              <w:t>29</w:t>
            </w:r>
          </w:p>
        </w:tc>
        <w:tc>
          <w:tcPr>
            <w:tcW w:w="1134" w:type="dxa"/>
            <w:vAlign w:val="center"/>
          </w:tcPr>
          <w:p>
            <w:pPr>
              <w:jc w:val="center"/>
              <w:rPr>
                <w:rFonts w:hint="eastAsia" w:ascii="宋体" w:hAnsi="宋体" w:eastAsia="宋体" w:cs="宋体"/>
                <w:color w:val="000000"/>
                <w:kern w:val="0"/>
                <w:szCs w:val="21"/>
              </w:rPr>
            </w:pPr>
            <w:r>
              <w:rPr>
                <w:rFonts w:hint="eastAsia" w:ascii="宋体" w:hAnsi="宋体" w:eastAsia="宋体"/>
                <w:kern w:val="0"/>
                <w:szCs w:val="21"/>
              </w:rPr>
              <w:t>JT 2024-29</w:t>
            </w:r>
          </w:p>
        </w:tc>
        <w:tc>
          <w:tcPr>
            <w:tcW w:w="1560" w:type="dxa"/>
            <w:vAlign w:val="center"/>
          </w:tcPr>
          <w:p>
            <w:pPr>
              <w:rPr>
                <w:rFonts w:hint="eastAsia" w:ascii="宋体" w:hAnsi="宋体" w:eastAsia="宋体" w:cs="Times New Roman"/>
                <w:kern w:val="0"/>
                <w:szCs w:val="21"/>
              </w:rPr>
            </w:pPr>
            <w:r>
              <w:rPr>
                <w:rFonts w:ascii="宋体" w:hAnsi="宋体" w:eastAsia="宋体" w:cs="Times New Roman"/>
                <w:kern w:val="0"/>
                <w:szCs w:val="21"/>
              </w:rPr>
              <w:t>内河多功能船载终端技术要求</w:t>
            </w:r>
          </w:p>
        </w:tc>
        <w:tc>
          <w:tcPr>
            <w:tcW w:w="5528" w:type="dxa"/>
            <w:vAlign w:val="center"/>
          </w:tcPr>
          <w:p>
            <w:pPr>
              <w:rPr>
                <w:rFonts w:hint="eastAsia" w:ascii="宋体" w:hAnsi="宋体" w:eastAsia="宋体" w:cs="Times New Roman"/>
                <w:kern w:val="0"/>
                <w:szCs w:val="21"/>
              </w:rPr>
            </w:pPr>
            <w:r>
              <w:rPr>
                <w:rFonts w:ascii="宋体" w:hAnsi="宋体" w:eastAsia="宋体" w:cs="Times New Roman"/>
                <w:kern w:val="0"/>
                <w:szCs w:val="21"/>
              </w:rPr>
              <w:t>拟规定内河多功能船载终端的一般要求、功能要求、硬件要求、软件要求、操作系统管理要求和其他要求。</w:t>
            </w:r>
          </w:p>
          <w:p>
            <w:pPr>
              <w:rPr>
                <w:rFonts w:hint="eastAsia" w:ascii="宋体" w:hAnsi="宋体" w:eastAsia="宋体" w:cs="Times New Roman"/>
                <w:kern w:val="0"/>
                <w:szCs w:val="21"/>
              </w:rPr>
            </w:pPr>
            <w:r>
              <w:rPr>
                <w:rFonts w:ascii="宋体" w:hAnsi="宋体" w:eastAsia="宋体" w:cs="Times New Roman"/>
                <w:kern w:val="0"/>
                <w:szCs w:val="21"/>
              </w:rPr>
              <w:t>适用于内河船多功能载终端的设计、生产、检测、使用、管理。</w:t>
            </w:r>
          </w:p>
        </w:tc>
        <w:tc>
          <w:tcPr>
            <w:tcW w:w="709" w:type="dxa"/>
            <w:vAlign w:val="center"/>
          </w:tcPr>
          <w:p>
            <w:pPr>
              <w:jc w:val="center"/>
              <w:rPr>
                <w:rFonts w:hint="eastAsia" w:ascii="宋体" w:hAnsi="宋体" w:eastAsia="宋体" w:cs="宋体"/>
                <w:kern w:val="0"/>
                <w:szCs w:val="21"/>
              </w:rPr>
            </w:pPr>
            <w:r>
              <w:rPr>
                <w:rFonts w:hint="eastAsia" w:ascii="宋体" w:hAnsi="宋体" w:eastAsia="宋体" w:cs="宋体"/>
                <w:kern w:val="0"/>
                <w:szCs w:val="21"/>
              </w:rPr>
              <w:t>制定</w:t>
            </w:r>
          </w:p>
        </w:tc>
        <w:tc>
          <w:tcPr>
            <w:tcW w:w="1121" w:type="dxa"/>
            <w:vAlign w:val="center"/>
          </w:tcPr>
          <w:p>
            <w:pPr>
              <w:jc w:val="center"/>
              <w:rPr>
                <w:rFonts w:hint="eastAsia" w:ascii="宋体" w:hAnsi="宋体" w:eastAsia="宋体" w:cs="宋体"/>
                <w:kern w:val="0"/>
                <w:szCs w:val="21"/>
              </w:rPr>
            </w:pPr>
          </w:p>
        </w:tc>
        <w:tc>
          <w:tcPr>
            <w:tcW w:w="846" w:type="dxa"/>
            <w:vAlign w:val="center"/>
          </w:tcPr>
          <w:p>
            <w:pPr>
              <w:jc w:val="center"/>
              <w:rPr>
                <w:rFonts w:hint="eastAsia" w:ascii="宋体" w:hAnsi="宋体" w:eastAsia="宋体" w:cs="宋体"/>
                <w:kern w:val="0"/>
                <w:szCs w:val="21"/>
              </w:rPr>
            </w:pPr>
            <w:r>
              <w:rPr>
                <w:rFonts w:ascii="宋体" w:hAnsi="宋体" w:eastAsia="宋体" w:cs="宋体"/>
                <w:kern w:val="0"/>
                <w:szCs w:val="21"/>
              </w:rPr>
              <w:t>12</w:t>
            </w:r>
          </w:p>
        </w:tc>
        <w:tc>
          <w:tcPr>
            <w:tcW w:w="988" w:type="dxa"/>
            <w:vAlign w:val="center"/>
          </w:tcPr>
          <w:p>
            <w:pPr>
              <w:jc w:val="center"/>
              <w:rPr>
                <w:rFonts w:hint="eastAsia" w:ascii="宋体" w:hAnsi="宋体" w:eastAsia="宋体" w:cs="宋体"/>
                <w:kern w:val="0"/>
                <w:szCs w:val="21"/>
              </w:rPr>
            </w:pPr>
            <w:r>
              <w:rPr>
                <w:rFonts w:ascii="宋体" w:hAnsi="宋体" w:eastAsia="宋体" w:cs="宋体"/>
                <w:kern w:val="0"/>
                <w:szCs w:val="21"/>
              </w:rPr>
              <w:t>信息通导标委会</w:t>
            </w:r>
          </w:p>
        </w:tc>
        <w:tc>
          <w:tcPr>
            <w:tcW w:w="2799" w:type="dxa"/>
            <w:vAlign w:val="center"/>
          </w:tcPr>
          <w:p>
            <w:pPr>
              <w:rPr>
                <w:rFonts w:hint="eastAsia" w:ascii="宋体" w:hAnsi="宋体" w:eastAsia="宋体" w:cs="宋体"/>
                <w:kern w:val="0"/>
                <w:szCs w:val="21"/>
              </w:rPr>
            </w:pPr>
            <w:r>
              <w:rPr>
                <w:rFonts w:ascii="宋体" w:hAnsi="宋体" w:eastAsia="宋体" w:cs="宋体"/>
                <w:kern w:val="0"/>
                <w:szCs w:val="21"/>
              </w:rPr>
              <w:t>交通运输部水运科学研究所、长江三峡通航管理局、交通运输部长江航务管理局、中国船级社、华大北斗科技有限公司、华为终端有限公司、软通动力信息技术（集团）股份有限公司</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568" w:hRule="atLeast"/>
        </w:trPr>
        <w:tc>
          <w:tcPr>
            <w:tcW w:w="562" w:type="dxa"/>
            <w:vAlign w:val="center"/>
          </w:tcPr>
          <w:p>
            <w:pPr>
              <w:jc w:val="center"/>
              <w:rPr>
                <w:rFonts w:hint="eastAsia" w:ascii="宋体" w:hAnsi="宋体" w:eastAsia="宋体" w:cs="Times New Roman"/>
                <w:bCs/>
                <w:kern w:val="0"/>
                <w:szCs w:val="21"/>
              </w:rPr>
            </w:pPr>
            <w:r>
              <w:rPr>
                <w:rFonts w:hint="eastAsia" w:ascii="宋体" w:hAnsi="宋体" w:eastAsia="宋体" w:cs="Times New Roman"/>
                <w:bCs/>
                <w:kern w:val="0"/>
                <w:szCs w:val="21"/>
              </w:rPr>
              <w:t>30</w:t>
            </w:r>
          </w:p>
        </w:tc>
        <w:tc>
          <w:tcPr>
            <w:tcW w:w="1134" w:type="dxa"/>
            <w:vAlign w:val="center"/>
          </w:tcPr>
          <w:p>
            <w:pPr>
              <w:jc w:val="center"/>
              <w:rPr>
                <w:rFonts w:hint="eastAsia" w:ascii="宋体" w:hAnsi="宋体" w:eastAsia="宋体" w:cs="宋体"/>
                <w:color w:val="000000"/>
                <w:kern w:val="0"/>
                <w:szCs w:val="21"/>
              </w:rPr>
            </w:pPr>
            <w:r>
              <w:rPr>
                <w:rFonts w:hint="eastAsia" w:ascii="宋体" w:hAnsi="宋体" w:eastAsia="宋体"/>
                <w:kern w:val="0"/>
                <w:szCs w:val="21"/>
              </w:rPr>
              <w:t>JT 2024-30</w:t>
            </w:r>
          </w:p>
        </w:tc>
        <w:tc>
          <w:tcPr>
            <w:tcW w:w="1560" w:type="dxa"/>
            <w:vAlign w:val="center"/>
          </w:tcPr>
          <w:p>
            <w:pPr>
              <w:rPr>
                <w:rFonts w:hint="eastAsia" w:ascii="宋体" w:hAnsi="宋体" w:eastAsia="宋体" w:cs="Times New Roman"/>
                <w:kern w:val="0"/>
                <w:szCs w:val="21"/>
              </w:rPr>
            </w:pPr>
            <w:r>
              <w:rPr>
                <w:rFonts w:ascii="宋体" w:hAnsi="宋体" w:eastAsia="宋体" w:cs="Times New Roman"/>
                <w:kern w:val="0"/>
                <w:szCs w:val="21"/>
              </w:rPr>
              <w:t>交通运输信息系统  数据库字段命名及属性定义</w:t>
            </w:r>
          </w:p>
        </w:tc>
        <w:tc>
          <w:tcPr>
            <w:tcW w:w="5528" w:type="dxa"/>
            <w:vAlign w:val="center"/>
          </w:tcPr>
          <w:p>
            <w:pPr>
              <w:widowControl/>
              <w:rPr>
                <w:rFonts w:hint="eastAsia" w:ascii="宋体" w:hAnsi="宋体" w:eastAsia="宋体" w:cs="Times New Roman"/>
                <w:kern w:val="0"/>
                <w:szCs w:val="21"/>
              </w:rPr>
            </w:pPr>
            <w:r>
              <w:rPr>
                <w:rFonts w:ascii="宋体" w:hAnsi="宋体" w:eastAsia="宋体" w:cs="Times New Roman"/>
                <w:kern w:val="0"/>
                <w:szCs w:val="21"/>
              </w:rPr>
              <w:t>现行标准规定了交通运输信息系统数据库字段命名及字段属性定义的规则</w:t>
            </w:r>
            <w:r>
              <w:rPr>
                <w:rFonts w:hint="eastAsia" w:ascii="宋体" w:hAnsi="宋体" w:eastAsia="宋体" w:cs="Times New Roman"/>
                <w:kern w:val="0"/>
                <w:szCs w:val="21"/>
              </w:rPr>
              <w:t>。</w:t>
            </w:r>
          </w:p>
          <w:p>
            <w:pPr>
              <w:widowControl/>
              <w:rPr>
                <w:rFonts w:hint="eastAsia" w:ascii="宋体" w:hAnsi="宋体" w:eastAsia="宋体" w:cs="Times New Roman"/>
                <w:kern w:val="0"/>
                <w:szCs w:val="21"/>
              </w:rPr>
            </w:pPr>
            <w:r>
              <w:rPr>
                <w:rFonts w:ascii="宋体" w:hAnsi="宋体" w:eastAsia="宋体" w:cs="Times New Roman"/>
                <w:kern w:val="0"/>
                <w:szCs w:val="21"/>
              </w:rPr>
              <w:t>适用于公路、水路交通运输信息系统关系型数据库的字段命名和属性定义</w:t>
            </w:r>
            <w:r>
              <w:rPr>
                <w:rFonts w:hint="eastAsia" w:ascii="宋体" w:hAnsi="宋体" w:eastAsia="宋体" w:cs="Times New Roman"/>
                <w:kern w:val="0"/>
                <w:szCs w:val="21"/>
              </w:rPr>
              <w:t>，其他类型数据库的字段命名和属性定义可参照使用</w:t>
            </w:r>
            <w:r>
              <w:rPr>
                <w:rFonts w:ascii="宋体" w:hAnsi="宋体" w:eastAsia="宋体" w:cs="Times New Roman"/>
                <w:kern w:val="0"/>
                <w:szCs w:val="21"/>
              </w:rPr>
              <w:t>。</w:t>
            </w:r>
          </w:p>
          <w:p>
            <w:pPr>
              <w:widowControl/>
              <w:rPr>
                <w:rFonts w:hint="eastAsia" w:ascii="宋体" w:hAnsi="宋体" w:eastAsia="宋体" w:cs="Times New Roman"/>
                <w:kern w:val="0"/>
                <w:szCs w:val="21"/>
              </w:rPr>
            </w:pPr>
            <w:r>
              <w:rPr>
                <w:rFonts w:ascii="宋体" w:hAnsi="宋体" w:eastAsia="宋体" w:cs="Times New Roman"/>
                <w:kern w:val="0"/>
                <w:szCs w:val="21"/>
              </w:rPr>
              <w:t>主要修订内容：1.增加航标数据元的缩写；2.更改常用数据库类型；3.更改常用数据库类型的推荐属性。</w:t>
            </w:r>
          </w:p>
        </w:tc>
        <w:tc>
          <w:tcPr>
            <w:tcW w:w="709" w:type="dxa"/>
            <w:vAlign w:val="center"/>
          </w:tcPr>
          <w:p>
            <w:pPr>
              <w:jc w:val="center"/>
              <w:rPr>
                <w:rFonts w:hint="eastAsia" w:ascii="宋体" w:hAnsi="宋体" w:eastAsia="宋体" w:cs="宋体"/>
                <w:kern w:val="0"/>
                <w:szCs w:val="21"/>
              </w:rPr>
            </w:pPr>
            <w:r>
              <w:rPr>
                <w:rFonts w:ascii="宋体" w:hAnsi="宋体" w:eastAsia="宋体" w:cs="宋体"/>
                <w:kern w:val="0"/>
                <w:szCs w:val="21"/>
              </w:rPr>
              <w:t>修订</w:t>
            </w:r>
          </w:p>
        </w:tc>
        <w:tc>
          <w:tcPr>
            <w:tcW w:w="1121" w:type="dxa"/>
            <w:vAlign w:val="center"/>
          </w:tcPr>
          <w:p>
            <w:pPr>
              <w:jc w:val="center"/>
              <w:rPr>
                <w:rFonts w:hint="eastAsia" w:ascii="宋体" w:hAnsi="宋体" w:eastAsia="宋体" w:cs="宋体"/>
                <w:kern w:val="0"/>
                <w:szCs w:val="21"/>
              </w:rPr>
            </w:pPr>
            <w:r>
              <w:rPr>
                <w:rFonts w:ascii="宋体" w:hAnsi="宋体" w:eastAsia="宋体" w:cs="宋体"/>
                <w:kern w:val="0"/>
                <w:szCs w:val="21"/>
              </w:rPr>
              <w:t>JT/T 1058</w:t>
            </w:r>
            <w:r>
              <w:rPr>
                <w:rFonts w:hint="eastAsia" w:ascii="宋体" w:hAnsi="宋体" w:eastAsia="宋体" w:cs="宋体"/>
                <w:kern w:val="0"/>
                <w:szCs w:val="21"/>
              </w:rPr>
              <w:t>—</w:t>
            </w:r>
            <w:r>
              <w:rPr>
                <w:rFonts w:ascii="宋体" w:hAnsi="宋体" w:eastAsia="宋体" w:cs="宋体"/>
                <w:kern w:val="0"/>
                <w:szCs w:val="21"/>
              </w:rPr>
              <w:t>2016</w:t>
            </w:r>
          </w:p>
        </w:tc>
        <w:tc>
          <w:tcPr>
            <w:tcW w:w="846" w:type="dxa"/>
            <w:vAlign w:val="center"/>
          </w:tcPr>
          <w:p>
            <w:pPr>
              <w:jc w:val="center"/>
              <w:rPr>
                <w:rFonts w:hint="eastAsia" w:ascii="宋体" w:hAnsi="宋体" w:eastAsia="宋体" w:cs="宋体"/>
                <w:kern w:val="0"/>
                <w:szCs w:val="21"/>
              </w:rPr>
            </w:pPr>
            <w:r>
              <w:rPr>
                <w:rFonts w:ascii="宋体" w:hAnsi="宋体" w:eastAsia="宋体" w:cs="宋体"/>
                <w:kern w:val="0"/>
                <w:szCs w:val="21"/>
              </w:rPr>
              <w:t>12</w:t>
            </w:r>
          </w:p>
        </w:tc>
        <w:tc>
          <w:tcPr>
            <w:tcW w:w="988" w:type="dxa"/>
            <w:vAlign w:val="center"/>
          </w:tcPr>
          <w:p>
            <w:pPr>
              <w:jc w:val="center"/>
              <w:rPr>
                <w:rFonts w:hint="eastAsia" w:ascii="宋体" w:hAnsi="宋体" w:eastAsia="宋体" w:cs="宋体"/>
                <w:kern w:val="0"/>
                <w:szCs w:val="21"/>
              </w:rPr>
            </w:pPr>
            <w:r>
              <w:rPr>
                <w:rFonts w:ascii="宋体" w:hAnsi="宋体" w:eastAsia="宋体" w:cs="宋体"/>
                <w:kern w:val="0"/>
                <w:szCs w:val="21"/>
              </w:rPr>
              <w:t>信息通导标委会</w:t>
            </w:r>
          </w:p>
        </w:tc>
        <w:tc>
          <w:tcPr>
            <w:tcW w:w="2799" w:type="dxa"/>
            <w:vAlign w:val="center"/>
          </w:tcPr>
          <w:p>
            <w:pPr>
              <w:rPr>
                <w:rFonts w:hint="eastAsia" w:ascii="宋体" w:hAnsi="宋体" w:eastAsia="宋体" w:cs="宋体"/>
                <w:kern w:val="0"/>
                <w:szCs w:val="21"/>
              </w:rPr>
            </w:pPr>
            <w:r>
              <w:rPr>
                <w:rFonts w:ascii="宋体" w:hAnsi="宋体" w:eastAsia="宋体" w:cs="宋体"/>
                <w:kern w:val="0"/>
                <w:szCs w:val="21"/>
              </w:rPr>
              <w:t>长安大学、陕西省交通运行监测中心、中交水运规划设计院有限公司</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568" w:hRule="atLeast"/>
        </w:trPr>
        <w:tc>
          <w:tcPr>
            <w:tcW w:w="562" w:type="dxa"/>
            <w:vAlign w:val="center"/>
          </w:tcPr>
          <w:p>
            <w:pPr>
              <w:jc w:val="center"/>
              <w:rPr>
                <w:rFonts w:hint="eastAsia" w:ascii="宋体" w:hAnsi="宋体" w:eastAsia="宋体" w:cs="Times New Roman"/>
                <w:bCs/>
                <w:kern w:val="0"/>
                <w:szCs w:val="21"/>
              </w:rPr>
            </w:pPr>
            <w:r>
              <w:rPr>
                <w:rFonts w:hint="eastAsia" w:ascii="宋体" w:hAnsi="宋体" w:eastAsia="宋体" w:cs="Times New Roman"/>
                <w:bCs/>
                <w:kern w:val="0"/>
                <w:szCs w:val="21"/>
              </w:rPr>
              <w:t>31</w:t>
            </w:r>
          </w:p>
        </w:tc>
        <w:tc>
          <w:tcPr>
            <w:tcW w:w="1134" w:type="dxa"/>
            <w:vAlign w:val="center"/>
          </w:tcPr>
          <w:p>
            <w:pPr>
              <w:jc w:val="center"/>
              <w:rPr>
                <w:rFonts w:hint="eastAsia" w:ascii="宋体" w:hAnsi="宋体" w:eastAsia="宋体" w:cs="宋体"/>
                <w:color w:val="000000"/>
                <w:kern w:val="0"/>
                <w:szCs w:val="21"/>
              </w:rPr>
            </w:pPr>
            <w:r>
              <w:rPr>
                <w:rFonts w:hint="eastAsia" w:ascii="宋体" w:hAnsi="宋体" w:eastAsia="宋体"/>
                <w:kern w:val="0"/>
                <w:szCs w:val="21"/>
              </w:rPr>
              <w:t>JT 2024-31</w:t>
            </w:r>
          </w:p>
        </w:tc>
        <w:tc>
          <w:tcPr>
            <w:tcW w:w="1560" w:type="dxa"/>
            <w:vAlign w:val="center"/>
          </w:tcPr>
          <w:p>
            <w:pPr>
              <w:rPr>
                <w:rFonts w:hint="eastAsia" w:ascii="宋体" w:hAnsi="宋体" w:eastAsia="宋体" w:cs="Times New Roman"/>
                <w:kern w:val="0"/>
                <w:szCs w:val="21"/>
              </w:rPr>
            </w:pPr>
            <w:r>
              <w:rPr>
                <w:rFonts w:ascii="宋体" w:hAnsi="宋体" w:eastAsia="宋体" w:cs="Times New Roman"/>
                <w:kern w:val="0"/>
                <w:szCs w:val="21"/>
              </w:rPr>
              <w:t>交通运输专项规划环境影响评价技术规范 第4部分：综合交通运输枢纽规划</w:t>
            </w:r>
          </w:p>
        </w:tc>
        <w:tc>
          <w:tcPr>
            <w:tcW w:w="5528" w:type="dxa"/>
            <w:vAlign w:val="center"/>
          </w:tcPr>
          <w:p>
            <w:pPr>
              <w:rPr>
                <w:rFonts w:hint="eastAsia" w:ascii="宋体" w:hAnsi="宋体" w:eastAsia="宋体" w:cs="Times New Roman"/>
                <w:kern w:val="0"/>
                <w:szCs w:val="21"/>
              </w:rPr>
            </w:pPr>
            <w:r>
              <w:rPr>
                <w:rFonts w:ascii="宋体" w:hAnsi="宋体" w:eastAsia="宋体" w:cs="Times New Roman"/>
                <w:kern w:val="0"/>
                <w:szCs w:val="21"/>
              </w:rPr>
              <w:t>拟规定综合交通运输枢纽规划环境影响评价的规划分析、现状调查与评价、环境影响识别与评价指标体系构建、环境影响预测与评价、规划方案综合论证和优化调整建议、环境影响减缓对策和措施、环境影响跟踪评价、公众参与等内容和要求。</w:t>
            </w:r>
          </w:p>
          <w:p>
            <w:pPr>
              <w:rPr>
                <w:rFonts w:hint="eastAsia" w:ascii="宋体" w:hAnsi="宋体" w:eastAsia="宋体" w:cs="Times New Roman"/>
                <w:kern w:val="0"/>
                <w:szCs w:val="21"/>
              </w:rPr>
            </w:pPr>
            <w:r>
              <w:rPr>
                <w:rFonts w:ascii="宋体" w:hAnsi="宋体" w:eastAsia="宋体" w:cs="Times New Roman"/>
                <w:kern w:val="0"/>
                <w:szCs w:val="21"/>
              </w:rPr>
              <w:t>适用于综合交通运输枢纽港站（港口除外）规划的环境影响评价，城市的交通枢纽规划和单一运输方式的交通运输枢纽规划的环境影响评价参照使用。</w:t>
            </w:r>
          </w:p>
        </w:tc>
        <w:tc>
          <w:tcPr>
            <w:tcW w:w="709" w:type="dxa"/>
            <w:vAlign w:val="center"/>
          </w:tcPr>
          <w:p>
            <w:pPr>
              <w:jc w:val="center"/>
              <w:rPr>
                <w:rFonts w:hint="eastAsia" w:ascii="宋体" w:hAnsi="宋体" w:eastAsia="宋体" w:cs="宋体"/>
                <w:kern w:val="0"/>
                <w:szCs w:val="21"/>
              </w:rPr>
            </w:pPr>
            <w:r>
              <w:rPr>
                <w:rFonts w:hint="eastAsia" w:ascii="宋体" w:hAnsi="宋体" w:eastAsia="宋体" w:cs="宋体"/>
                <w:kern w:val="0"/>
                <w:szCs w:val="21"/>
              </w:rPr>
              <w:t>制定</w:t>
            </w:r>
          </w:p>
        </w:tc>
        <w:tc>
          <w:tcPr>
            <w:tcW w:w="1121" w:type="dxa"/>
            <w:vAlign w:val="center"/>
          </w:tcPr>
          <w:p>
            <w:pPr>
              <w:jc w:val="center"/>
              <w:rPr>
                <w:rFonts w:hint="eastAsia" w:ascii="宋体" w:hAnsi="宋体" w:eastAsia="宋体" w:cs="宋体"/>
                <w:kern w:val="0"/>
                <w:szCs w:val="21"/>
              </w:rPr>
            </w:pPr>
          </w:p>
        </w:tc>
        <w:tc>
          <w:tcPr>
            <w:tcW w:w="846" w:type="dxa"/>
            <w:vAlign w:val="center"/>
          </w:tcPr>
          <w:p>
            <w:pPr>
              <w:jc w:val="center"/>
              <w:rPr>
                <w:rFonts w:hint="eastAsia" w:ascii="宋体" w:hAnsi="宋体" w:eastAsia="宋体" w:cs="宋体"/>
                <w:kern w:val="0"/>
                <w:szCs w:val="21"/>
              </w:rPr>
            </w:pPr>
            <w:r>
              <w:rPr>
                <w:rFonts w:ascii="宋体" w:hAnsi="宋体" w:eastAsia="宋体" w:cs="宋体"/>
                <w:kern w:val="0"/>
                <w:szCs w:val="21"/>
              </w:rPr>
              <w:t>12</w:t>
            </w:r>
          </w:p>
        </w:tc>
        <w:tc>
          <w:tcPr>
            <w:tcW w:w="988" w:type="dxa"/>
            <w:vAlign w:val="center"/>
          </w:tcPr>
          <w:p>
            <w:pPr>
              <w:jc w:val="center"/>
              <w:rPr>
                <w:rFonts w:hint="eastAsia" w:ascii="宋体" w:hAnsi="宋体" w:eastAsia="宋体" w:cs="宋体"/>
                <w:kern w:val="0"/>
                <w:szCs w:val="21"/>
              </w:rPr>
            </w:pPr>
            <w:r>
              <w:rPr>
                <w:rFonts w:ascii="宋体" w:hAnsi="宋体" w:eastAsia="宋体" w:cs="宋体"/>
                <w:kern w:val="0"/>
                <w:szCs w:val="21"/>
              </w:rPr>
              <w:t>环境保护标委会</w:t>
            </w:r>
          </w:p>
        </w:tc>
        <w:tc>
          <w:tcPr>
            <w:tcW w:w="2799" w:type="dxa"/>
            <w:vAlign w:val="center"/>
          </w:tcPr>
          <w:p>
            <w:pPr>
              <w:rPr>
                <w:rFonts w:hint="eastAsia" w:ascii="宋体" w:hAnsi="宋体" w:eastAsia="宋体" w:cs="宋体"/>
                <w:kern w:val="0"/>
                <w:szCs w:val="21"/>
              </w:rPr>
            </w:pPr>
            <w:r>
              <w:rPr>
                <w:rFonts w:ascii="宋体" w:hAnsi="宋体" w:eastAsia="宋体" w:cs="宋体"/>
                <w:kern w:val="0"/>
                <w:szCs w:val="21"/>
              </w:rPr>
              <w:t>交通运输部公路科学研究所、交通运输部规划研究院</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568" w:hRule="atLeast"/>
        </w:trPr>
        <w:tc>
          <w:tcPr>
            <w:tcW w:w="562" w:type="dxa"/>
            <w:vAlign w:val="center"/>
          </w:tcPr>
          <w:p>
            <w:pPr>
              <w:jc w:val="center"/>
              <w:rPr>
                <w:rFonts w:hint="eastAsia" w:ascii="宋体" w:hAnsi="宋体" w:eastAsia="宋体" w:cs="Times New Roman"/>
                <w:bCs/>
                <w:kern w:val="0"/>
                <w:szCs w:val="21"/>
              </w:rPr>
            </w:pPr>
            <w:r>
              <w:rPr>
                <w:rFonts w:hint="eastAsia" w:ascii="宋体" w:hAnsi="宋体" w:eastAsia="宋体" w:cs="Times New Roman"/>
                <w:bCs/>
                <w:kern w:val="0"/>
                <w:szCs w:val="21"/>
              </w:rPr>
              <w:t>32</w:t>
            </w:r>
          </w:p>
        </w:tc>
        <w:tc>
          <w:tcPr>
            <w:tcW w:w="1134" w:type="dxa"/>
            <w:vAlign w:val="center"/>
          </w:tcPr>
          <w:p>
            <w:pPr>
              <w:jc w:val="center"/>
              <w:rPr>
                <w:rFonts w:hint="eastAsia" w:ascii="宋体" w:hAnsi="宋体" w:eastAsia="宋体" w:cs="宋体"/>
                <w:color w:val="000000"/>
                <w:kern w:val="0"/>
                <w:szCs w:val="21"/>
              </w:rPr>
            </w:pPr>
            <w:r>
              <w:rPr>
                <w:rFonts w:hint="eastAsia" w:ascii="宋体" w:hAnsi="宋体" w:eastAsia="宋体"/>
                <w:kern w:val="0"/>
                <w:szCs w:val="21"/>
              </w:rPr>
              <w:t>JT 2024-32</w:t>
            </w:r>
          </w:p>
        </w:tc>
        <w:tc>
          <w:tcPr>
            <w:tcW w:w="1560" w:type="dxa"/>
            <w:vAlign w:val="center"/>
          </w:tcPr>
          <w:p>
            <w:pPr>
              <w:rPr>
                <w:rFonts w:hint="eastAsia" w:ascii="宋体" w:hAnsi="宋体" w:eastAsia="宋体" w:cs="Times New Roman"/>
                <w:kern w:val="0"/>
                <w:szCs w:val="21"/>
              </w:rPr>
            </w:pPr>
            <w:r>
              <w:rPr>
                <w:rFonts w:ascii="宋体" w:hAnsi="宋体" w:eastAsia="宋体" w:cs="Times New Roman"/>
                <w:kern w:val="0"/>
                <w:szCs w:val="21"/>
              </w:rPr>
              <w:t>公路绿化养护废弃植生材料循环利用技术要求</w:t>
            </w:r>
          </w:p>
        </w:tc>
        <w:tc>
          <w:tcPr>
            <w:tcW w:w="5528" w:type="dxa"/>
            <w:vAlign w:val="center"/>
          </w:tcPr>
          <w:p>
            <w:pPr>
              <w:rPr>
                <w:rFonts w:hint="eastAsia" w:ascii="宋体" w:hAnsi="宋体" w:eastAsia="宋体" w:cs="Times New Roman"/>
                <w:kern w:val="0"/>
                <w:szCs w:val="21"/>
              </w:rPr>
            </w:pPr>
            <w:r>
              <w:rPr>
                <w:rFonts w:ascii="宋体" w:hAnsi="宋体" w:eastAsia="宋体" w:cs="Times New Roman"/>
                <w:kern w:val="0"/>
                <w:szCs w:val="21"/>
              </w:rPr>
              <w:t>拟规定公路绿化养护过程中产生的废弃植生材料循环利用的基本要求，包括收集和运输、收集处理点设置、循环利用技术</w:t>
            </w:r>
            <w:r>
              <w:rPr>
                <w:rFonts w:hint="eastAsia" w:ascii="宋体" w:hAnsi="宋体" w:eastAsia="宋体" w:cs="Times New Roman"/>
                <w:kern w:val="0"/>
                <w:szCs w:val="21"/>
              </w:rPr>
              <w:t>和</w:t>
            </w:r>
            <w:r>
              <w:rPr>
                <w:rFonts w:ascii="宋体" w:hAnsi="宋体" w:eastAsia="宋体" w:cs="Times New Roman"/>
                <w:kern w:val="0"/>
                <w:szCs w:val="21"/>
              </w:rPr>
              <w:t>生产</w:t>
            </w:r>
            <w:r>
              <w:rPr>
                <w:rFonts w:hint="eastAsia" w:ascii="宋体" w:hAnsi="宋体" w:eastAsia="宋体" w:cs="Times New Roman"/>
                <w:kern w:val="0"/>
                <w:szCs w:val="21"/>
              </w:rPr>
              <w:t>要求</w:t>
            </w:r>
            <w:r>
              <w:rPr>
                <w:rFonts w:ascii="宋体" w:hAnsi="宋体" w:eastAsia="宋体" w:cs="Times New Roman"/>
                <w:kern w:val="0"/>
                <w:szCs w:val="21"/>
              </w:rPr>
              <w:t>等内容。</w:t>
            </w:r>
          </w:p>
          <w:p>
            <w:pPr>
              <w:rPr>
                <w:rFonts w:hint="eastAsia" w:ascii="宋体" w:hAnsi="宋体" w:eastAsia="宋体" w:cs="Times New Roman"/>
                <w:kern w:val="0"/>
                <w:szCs w:val="21"/>
              </w:rPr>
            </w:pPr>
            <w:r>
              <w:rPr>
                <w:rFonts w:ascii="宋体" w:hAnsi="宋体" w:eastAsia="宋体" w:cs="Times New Roman"/>
                <w:kern w:val="0"/>
                <w:szCs w:val="21"/>
              </w:rPr>
              <w:t>适用于二级及以上等级公路绿化养护过程产生的废弃植生材料的循环利用，其他公路参照使用。</w:t>
            </w:r>
          </w:p>
        </w:tc>
        <w:tc>
          <w:tcPr>
            <w:tcW w:w="709" w:type="dxa"/>
            <w:vAlign w:val="center"/>
          </w:tcPr>
          <w:p>
            <w:pPr>
              <w:jc w:val="center"/>
              <w:rPr>
                <w:rFonts w:hint="eastAsia" w:ascii="宋体" w:hAnsi="宋体" w:eastAsia="宋体" w:cs="宋体"/>
                <w:kern w:val="0"/>
                <w:szCs w:val="21"/>
              </w:rPr>
            </w:pPr>
            <w:r>
              <w:rPr>
                <w:rFonts w:hint="eastAsia" w:ascii="宋体" w:hAnsi="宋体" w:eastAsia="宋体" w:cs="宋体"/>
                <w:kern w:val="0"/>
                <w:szCs w:val="21"/>
              </w:rPr>
              <w:t>制定</w:t>
            </w:r>
          </w:p>
        </w:tc>
        <w:tc>
          <w:tcPr>
            <w:tcW w:w="1121" w:type="dxa"/>
            <w:vAlign w:val="center"/>
          </w:tcPr>
          <w:p>
            <w:pPr>
              <w:jc w:val="center"/>
              <w:rPr>
                <w:rFonts w:hint="eastAsia" w:ascii="宋体" w:hAnsi="宋体" w:eastAsia="宋体" w:cs="宋体"/>
                <w:kern w:val="0"/>
                <w:szCs w:val="21"/>
              </w:rPr>
            </w:pPr>
          </w:p>
        </w:tc>
        <w:tc>
          <w:tcPr>
            <w:tcW w:w="846" w:type="dxa"/>
            <w:vAlign w:val="center"/>
          </w:tcPr>
          <w:p>
            <w:pPr>
              <w:jc w:val="center"/>
              <w:rPr>
                <w:rFonts w:hint="eastAsia" w:ascii="宋体" w:hAnsi="宋体" w:eastAsia="宋体" w:cs="宋体"/>
                <w:kern w:val="0"/>
                <w:szCs w:val="21"/>
              </w:rPr>
            </w:pPr>
            <w:r>
              <w:rPr>
                <w:rFonts w:ascii="宋体" w:hAnsi="宋体" w:eastAsia="宋体" w:cs="宋体"/>
                <w:kern w:val="0"/>
                <w:szCs w:val="21"/>
              </w:rPr>
              <w:t>12</w:t>
            </w:r>
          </w:p>
        </w:tc>
        <w:tc>
          <w:tcPr>
            <w:tcW w:w="988" w:type="dxa"/>
            <w:vAlign w:val="center"/>
          </w:tcPr>
          <w:p>
            <w:pPr>
              <w:jc w:val="center"/>
              <w:rPr>
                <w:rFonts w:hint="eastAsia" w:ascii="宋体" w:hAnsi="宋体" w:eastAsia="宋体" w:cs="宋体"/>
                <w:kern w:val="0"/>
                <w:szCs w:val="21"/>
              </w:rPr>
            </w:pPr>
            <w:r>
              <w:rPr>
                <w:rFonts w:ascii="宋体" w:hAnsi="宋体" w:eastAsia="宋体" w:cs="宋体"/>
                <w:kern w:val="0"/>
                <w:szCs w:val="21"/>
              </w:rPr>
              <w:t>环境保护标委会</w:t>
            </w:r>
          </w:p>
        </w:tc>
        <w:tc>
          <w:tcPr>
            <w:tcW w:w="2799" w:type="dxa"/>
            <w:vAlign w:val="center"/>
          </w:tcPr>
          <w:p>
            <w:pPr>
              <w:rPr>
                <w:rFonts w:hint="eastAsia" w:ascii="宋体" w:hAnsi="宋体" w:eastAsia="宋体" w:cs="宋体"/>
                <w:kern w:val="0"/>
                <w:szCs w:val="21"/>
              </w:rPr>
            </w:pPr>
            <w:r>
              <w:rPr>
                <w:rFonts w:ascii="宋体" w:hAnsi="宋体" w:eastAsia="宋体" w:cs="宋体"/>
                <w:kern w:val="0"/>
                <w:szCs w:val="21"/>
              </w:rPr>
              <w:t>四川省交通勘察设计研究院有限公司、交通运输部公路科学研究所、北京林业大学、交通运输部科学研究院、中交第二公路勘察设计研究院</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568" w:hRule="atLeast"/>
        </w:trPr>
        <w:tc>
          <w:tcPr>
            <w:tcW w:w="562" w:type="dxa"/>
            <w:vAlign w:val="center"/>
          </w:tcPr>
          <w:p>
            <w:pPr>
              <w:jc w:val="center"/>
              <w:rPr>
                <w:rFonts w:hint="eastAsia" w:ascii="宋体" w:hAnsi="宋体" w:eastAsia="宋体" w:cs="Times New Roman"/>
                <w:bCs/>
                <w:kern w:val="0"/>
                <w:szCs w:val="21"/>
              </w:rPr>
            </w:pPr>
            <w:r>
              <w:rPr>
                <w:rFonts w:hint="eastAsia" w:ascii="宋体" w:hAnsi="宋体" w:eastAsia="宋体" w:cs="Times New Roman"/>
                <w:bCs/>
                <w:kern w:val="0"/>
                <w:szCs w:val="21"/>
              </w:rPr>
              <w:t>33</w:t>
            </w:r>
          </w:p>
        </w:tc>
        <w:tc>
          <w:tcPr>
            <w:tcW w:w="1134" w:type="dxa"/>
            <w:vAlign w:val="center"/>
          </w:tcPr>
          <w:p>
            <w:pPr>
              <w:jc w:val="center"/>
              <w:rPr>
                <w:rFonts w:hint="eastAsia" w:ascii="宋体" w:hAnsi="宋体" w:eastAsia="宋体" w:cs="宋体"/>
                <w:color w:val="000000"/>
                <w:kern w:val="0"/>
                <w:szCs w:val="21"/>
              </w:rPr>
            </w:pPr>
            <w:r>
              <w:rPr>
                <w:rFonts w:hint="eastAsia" w:ascii="宋体" w:hAnsi="宋体" w:eastAsia="宋体"/>
                <w:kern w:val="0"/>
                <w:szCs w:val="21"/>
              </w:rPr>
              <w:t>JT 2024-33</w:t>
            </w:r>
          </w:p>
        </w:tc>
        <w:tc>
          <w:tcPr>
            <w:tcW w:w="1560" w:type="dxa"/>
            <w:vAlign w:val="center"/>
          </w:tcPr>
          <w:p>
            <w:pPr>
              <w:rPr>
                <w:rFonts w:hint="eastAsia" w:ascii="宋体" w:hAnsi="宋体" w:eastAsia="宋体" w:cs="Times New Roman"/>
                <w:kern w:val="0"/>
                <w:szCs w:val="21"/>
              </w:rPr>
            </w:pPr>
            <w:r>
              <w:rPr>
                <w:rFonts w:ascii="宋体" w:hAnsi="宋体" w:eastAsia="宋体" w:cs="Times New Roman"/>
                <w:kern w:val="0"/>
                <w:szCs w:val="21"/>
              </w:rPr>
              <w:t>公路服务区污水再生利用  第1部分：水质</w:t>
            </w:r>
          </w:p>
        </w:tc>
        <w:tc>
          <w:tcPr>
            <w:tcW w:w="5528" w:type="dxa"/>
            <w:vAlign w:val="center"/>
          </w:tcPr>
          <w:p>
            <w:pPr>
              <w:widowControl/>
              <w:rPr>
                <w:rFonts w:hint="eastAsia" w:ascii="宋体" w:hAnsi="宋体" w:eastAsia="宋体" w:cs="Times New Roman"/>
                <w:kern w:val="0"/>
                <w:szCs w:val="21"/>
              </w:rPr>
            </w:pPr>
            <w:r>
              <w:rPr>
                <w:rFonts w:ascii="宋体" w:hAnsi="宋体" w:eastAsia="宋体" w:cs="Times New Roman"/>
                <w:kern w:val="0"/>
                <w:szCs w:val="21"/>
              </w:rPr>
              <w:t>现行标准规定了公路服务区污水再生利用水质的技术要求</w:t>
            </w:r>
            <w:r>
              <w:rPr>
                <w:rFonts w:hint="eastAsia" w:ascii="宋体" w:hAnsi="宋体" w:eastAsia="宋体" w:cs="Times New Roman"/>
                <w:kern w:val="0"/>
                <w:szCs w:val="21"/>
              </w:rPr>
              <w:t>、</w:t>
            </w:r>
            <w:r>
              <w:rPr>
                <w:rFonts w:ascii="宋体" w:hAnsi="宋体" w:eastAsia="宋体" w:cs="Times New Roman"/>
                <w:kern w:val="0"/>
                <w:szCs w:val="21"/>
              </w:rPr>
              <w:t>取样及分析方法</w:t>
            </w:r>
            <w:r>
              <w:rPr>
                <w:rFonts w:hint="eastAsia" w:ascii="宋体" w:hAnsi="宋体" w:eastAsia="宋体" w:cs="Times New Roman"/>
                <w:kern w:val="0"/>
                <w:szCs w:val="21"/>
              </w:rPr>
              <w:t>、</w:t>
            </w:r>
            <w:r>
              <w:rPr>
                <w:rFonts w:ascii="宋体" w:hAnsi="宋体" w:eastAsia="宋体" w:cs="Times New Roman"/>
                <w:kern w:val="0"/>
                <w:szCs w:val="21"/>
              </w:rPr>
              <w:t>水质监控管理。</w:t>
            </w:r>
          </w:p>
          <w:p>
            <w:pPr>
              <w:widowControl/>
              <w:rPr>
                <w:rFonts w:hint="eastAsia" w:ascii="宋体" w:hAnsi="宋体" w:eastAsia="宋体" w:cs="Times New Roman"/>
                <w:kern w:val="0"/>
                <w:szCs w:val="21"/>
              </w:rPr>
            </w:pPr>
            <w:r>
              <w:rPr>
                <w:rFonts w:ascii="宋体" w:hAnsi="宋体" w:eastAsia="宋体" w:cs="Times New Roman"/>
                <w:kern w:val="0"/>
                <w:szCs w:val="21"/>
              </w:rPr>
              <w:t>适用于公路服务区冲厕、道路清扫、绿化、消防等用水。</w:t>
            </w:r>
          </w:p>
          <w:p>
            <w:pPr>
              <w:widowControl/>
              <w:rPr>
                <w:rFonts w:hint="eastAsia" w:ascii="宋体" w:hAnsi="宋体" w:eastAsia="宋体" w:cs="Times New Roman"/>
                <w:kern w:val="0"/>
                <w:szCs w:val="21"/>
              </w:rPr>
            </w:pPr>
            <w:r>
              <w:rPr>
                <w:rFonts w:ascii="宋体" w:hAnsi="宋体" w:eastAsia="宋体" w:cs="Times New Roman"/>
                <w:kern w:val="0"/>
                <w:szCs w:val="21"/>
              </w:rPr>
              <w:t>主要修订内容：1.增加水质再用的范围，分用途提出水质要求，在原水质要求中增加选择性控制和跟踪指标；2.更改部分用水类别的部分水质指标值，优化调整杂用水等非饮用用途的再生水水质用途；3.增加部分水质指标监测频率和监测分析方法。</w:t>
            </w:r>
          </w:p>
        </w:tc>
        <w:tc>
          <w:tcPr>
            <w:tcW w:w="709" w:type="dxa"/>
            <w:vAlign w:val="center"/>
          </w:tcPr>
          <w:p>
            <w:pPr>
              <w:jc w:val="center"/>
              <w:rPr>
                <w:rFonts w:hint="eastAsia" w:ascii="宋体" w:hAnsi="宋体" w:eastAsia="宋体" w:cs="宋体"/>
                <w:kern w:val="0"/>
                <w:szCs w:val="21"/>
              </w:rPr>
            </w:pPr>
            <w:r>
              <w:rPr>
                <w:rFonts w:ascii="宋体" w:hAnsi="宋体" w:eastAsia="宋体" w:cs="宋体"/>
                <w:kern w:val="0"/>
                <w:szCs w:val="21"/>
              </w:rPr>
              <w:t>修订</w:t>
            </w:r>
          </w:p>
        </w:tc>
        <w:tc>
          <w:tcPr>
            <w:tcW w:w="1121" w:type="dxa"/>
            <w:vAlign w:val="center"/>
          </w:tcPr>
          <w:p>
            <w:pPr>
              <w:jc w:val="center"/>
              <w:rPr>
                <w:rFonts w:hint="eastAsia" w:ascii="宋体" w:hAnsi="宋体" w:eastAsia="宋体" w:cs="宋体"/>
                <w:kern w:val="0"/>
                <w:szCs w:val="21"/>
              </w:rPr>
            </w:pPr>
            <w:r>
              <w:rPr>
                <w:rFonts w:ascii="宋体" w:hAnsi="宋体" w:eastAsia="宋体" w:cs="宋体"/>
                <w:kern w:val="0"/>
                <w:szCs w:val="21"/>
              </w:rPr>
              <w:t>JT/T 645.1</w:t>
            </w:r>
            <w:r>
              <w:rPr>
                <w:rFonts w:hint="eastAsia" w:ascii="宋体" w:hAnsi="宋体" w:eastAsia="宋体" w:cs="宋体"/>
                <w:kern w:val="0"/>
                <w:szCs w:val="21"/>
              </w:rPr>
              <w:t>—</w:t>
            </w:r>
            <w:r>
              <w:rPr>
                <w:rFonts w:ascii="宋体" w:hAnsi="宋体" w:eastAsia="宋体" w:cs="宋体"/>
                <w:kern w:val="0"/>
                <w:szCs w:val="21"/>
              </w:rPr>
              <w:t>2016</w:t>
            </w:r>
          </w:p>
        </w:tc>
        <w:tc>
          <w:tcPr>
            <w:tcW w:w="846" w:type="dxa"/>
            <w:vAlign w:val="center"/>
          </w:tcPr>
          <w:p>
            <w:pPr>
              <w:jc w:val="center"/>
              <w:rPr>
                <w:rFonts w:hint="eastAsia" w:ascii="宋体" w:hAnsi="宋体" w:eastAsia="宋体" w:cs="宋体"/>
                <w:kern w:val="0"/>
                <w:szCs w:val="21"/>
              </w:rPr>
            </w:pPr>
            <w:r>
              <w:rPr>
                <w:rFonts w:ascii="宋体" w:hAnsi="宋体" w:eastAsia="宋体" w:cs="宋体"/>
                <w:kern w:val="0"/>
                <w:szCs w:val="21"/>
              </w:rPr>
              <w:t>12</w:t>
            </w:r>
          </w:p>
        </w:tc>
        <w:tc>
          <w:tcPr>
            <w:tcW w:w="988" w:type="dxa"/>
            <w:vAlign w:val="center"/>
          </w:tcPr>
          <w:p>
            <w:pPr>
              <w:jc w:val="center"/>
              <w:rPr>
                <w:rFonts w:hint="eastAsia" w:ascii="宋体" w:hAnsi="宋体" w:eastAsia="宋体" w:cs="宋体"/>
                <w:kern w:val="0"/>
                <w:szCs w:val="21"/>
              </w:rPr>
            </w:pPr>
            <w:r>
              <w:rPr>
                <w:rFonts w:ascii="宋体" w:hAnsi="宋体" w:eastAsia="宋体" w:cs="宋体"/>
                <w:kern w:val="0"/>
                <w:szCs w:val="21"/>
              </w:rPr>
              <w:t>环境保护标委会</w:t>
            </w:r>
          </w:p>
        </w:tc>
        <w:tc>
          <w:tcPr>
            <w:tcW w:w="2799" w:type="dxa"/>
            <w:vAlign w:val="center"/>
          </w:tcPr>
          <w:p>
            <w:pPr>
              <w:rPr>
                <w:rFonts w:hint="eastAsia" w:ascii="宋体" w:hAnsi="宋体" w:eastAsia="宋体" w:cs="宋体"/>
                <w:kern w:val="0"/>
                <w:szCs w:val="21"/>
              </w:rPr>
            </w:pPr>
            <w:r>
              <w:rPr>
                <w:rFonts w:ascii="宋体" w:hAnsi="宋体" w:eastAsia="宋体" w:cs="宋体"/>
                <w:kern w:val="0"/>
                <w:szCs w:val="21"/>
              </w:rPr>
              <w:t>交通运输部公路科学研究所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568" w:hRule="atLeast"/>
        </w:trPr>
        <w:tc>
          <w:tcPr>
            <w:tcW w:w="562" w:type="dxa"/>
            <w:vAlign w:val="center"/>
          </w:tcPr>
          <w:p>
            <w:pPr>
              <w:jc w:val="center"/>
              <w:rPr>
                <w:rFonts w:hint="eastAsia" w:ascii="宋体" w:hAnsi="宋体" w:eastAsia="宋体" w:cs="Times New Roman"/>
                <w:bCs/>
                <w:kern w:val="0"/>
                <w:szCs w:val="21"/>
              </w:rPr>
            </w:pPr>
            <w:r>
              <w:rPr>
                <w:rFonts w:hint="eastAsia" w:ascii="宋体" w:hAnsi="宋体" w:eastAsia="宋体" w:cs="Times New Roman"/>
                <w:bCs/>
                <w:kern w:val="0"/>
                <w:szCs w:val="21"/>
              </w:rPr>
              <w:t>34</w:t>
            </w:r>
          </w:p>
        </w:tc>
        <w:tc>
          <w:tcPr>
            <w:tcW w:w="1134" w:type="dxa"/>
            <w:vAlign w:val="center"/>
          </w:tcPr>
          <w:p>
            <w:pPr>
              <w:jc w:val="center"/>
              <w:rPr>
                <w:rFonts w:hint="eastAsia" w:ascii="宋体" w:hAnsi="宋体" w:eastAsia="宋体" w:cs="宋体"/>
                <w:color w:val="000000"/>
                <w:kern w:val="0"/>
                <w:szCs w:val="21"/>
              </w:rPr>
            </w:pPr>
            <w:r>
              <w:rPr>
                <w:rFonts w:hint="eastAsia" w:ascii="宋体" w:hAnsi="宋体" w:eastAsia="宋体"/>
                <w:kern w:val="0"/>
                <w:szCs w:val="21"/>
              </w:rPr>
              <w:t>JT 2024-34</w:t>
            </w:r>
          </w:p>
        </w:tc>
        <w:tc>
          <w:tcPr>
            <w:tcW w:w="1560" w:type="dxa"/>
            <w:vAlign w:val="center"/>
          </w:tcPr>
          <w:p>
            <w:pPr>
              <w:rPr>
                <w:rFonts w:hint="eastAsia" w:ascii="宋体" w:hAnsi="宋体" w:eastAsia="宋体" w:cs="Times New Roman"/>
                <w:kern w:val="0"/>
                <w:szCs w:val="21"/>
              </w:rPr>
            </w:pPr>
            <w:r>
              <w:rPr>
                <w:rFonts w:ascii="宋体" w:hAnsi="宋体" w:eastAsia="宋体" w:cs="Times New Roman"/>
                <w:kern w:val="0"/>
                <w:szCs w:val="21"/>
              </w:rPr>
              <w:t>公路服务区污水再生利用  第2部分：处理系统技术要求</w:t>
            </w:r>
          </w:p>
        </w:tc>
        <w:tc>
          <w:tcPr>
            <w:tcW w:w="5528" w:type="dxa"/>
            <w:vAlign w:val="center"/>
          </w:tcPr>
          <w:p>
            <w:pPr>
              <w:widowControl/>
              <w:rPr>
                <w:rFonts w:hint="eastAsia" w:ascii="宋体" w:hAnsi="宋体" w:eastAsia="宋体" w:cs="Times New Roman"/>
                <w:kern w:val="0"/>
                <w:szCs w:val="21"/>
              </w:rPr>
            </w:pPr>
            <w:r>
              <w:rPr>
                <w:rFonts w:ascii="宋体" w:hAnsi="宋体" w:eastAsia="宋体" w:cs="Times New Roman"/>
                <w:kern w:val="0"/>
                <w:szCs w:val="21"/>
              </w:rPr>
              <w:t>现行标准规定了公路服务区污水再生利用处理系统的设置原则、处理工艺、系统设施、构筑物设计、污水再生利用系统等技术要求</w:t>
            </w:r>
            <w:r>
              <w:rPr>
                <w:rFonts w:hint="eastAsia" w:ascii="宋体" w:hAnsi="宋体" w:eastAsia="宋体" w:cs="Times New Roman"/>
                <w:kern w:val="0"/>
                <w:szCs w:val="21"/>
              </w:rPr>
              <w:t>。</w:t>
            </w:r>
          </w:p>
          <w:p>
            <w:pPr>
              <w:widowControl/>
              <w:rPr>
                <w:rFonts w:hint="eastAsia" w:ascii="宋体" w:hAnsi="宋体" w:eastAsia="宋体" w:cs="Times New Roman"/>
                <w:kern w:val="0"/>
                <w:szCs w:val="21"/>
              </w:rPr>
            </w:pPr>
            <w:r>
              <w:rPr>
                <w:rFonts w:ascii="宋体" w:hAnsi="宋体" w:eastAsia="宋体" w:cs="Times New Roman"/>
                <w:kern w:val="0"/>
                <w:szCs w:val="21"/>
              </w:rPr>
              <w:t>适用于各类公路服务区污水再生利用处理工程。</w:t>
            </w:r>
          </w:p>
          <w:p>
            <w:pPr>
              <w:widowControl/>
              <w:rPr>
                <w:rFonts w:hint="eastAsia" w:ascii="宋体" w:hAnsi="宋体" w:eastAsia="宋体" w:cs="Times New Roman"/>
                <w:kern w:val="0"/>
                <w:szCs w:val="21"/>
              </w:rPr>
            </w:pPr>
            <w:r>
              <w:rPr>
                <w:rFonts w:ascii="宋体" w:hAnsi="宋体" w:eastAsia="宋体" w:cs="Times New Roman"/>
                <w:kern w:val="0"/>
                <w:szCs w:val="21"/>
              </w:rPr>
              <w:t>主要修订内容：1.增加“处理工艺”的内容和技术手段，补充MABR膜曝气处理工艺等新型工艺技术；2.调整优化部分工艺路线设计要求；3.增加低能耗技术要求。</w:t>
            </w:r>
          </w:p>
        </w:tc>
        <w:tc>
          <w:tcPr>
            <w:tcW w:w="709" w:type="dxa"/>
            <w:vAlign w:val="center"/>
          </w:tcPr>
          <w:p>
            <w:pPr>
              <w:jc w:val="center"/>
              <w:rPr>
                <w:rFonts w:hint="eastAsia" w:ascii="宋体" w:hAnsi="宋体" w:eastAsia="宋体" w:cs="宋体"/>
                <w:kern w:val="0"/>
                <w:szCs w:val="21"/>
              </w:rPr>
            </w:pPr>
            <w:r>
              <w:rPr>
                <w:rFonts w:ascii="宋体" w:hAnsi="宋体" w:eastAsia="宋体" w:cs="宋体"/>
                <w:kern w:val="0"/>
                <w:szCs w:val="21"/>
              </w:rPr>
              <w:t>修订</w:t>
            </w:r>
          </w:p>
        </w:tc>
        <w:tc>
          <w:tcPr>
            <w:tcW w:w="1121" w:type="dxa"/>
            <w:vAlign w:val="center"/>
          </w:tcPr>
          <w:p>
            <w:pPr>
              <w:jc w:val="center"/>
              <w:rPr>
                <w:rFonts w:hint="eastAsia" w:ascii="宋体" w:hAnsi="宋体" w:eastAsia="宋体" w:cs="宋体"/>
                <w:kern w:val="0"/>
                <w:szCs w:val="21"/>
              </w:rPr>
            </w:pPr>
            <w:r>
              <w:rPr>
                <w:rFonts w:ascii="宋体" w:hAnsi="宋体" w:eastAsia="宋体" w:cs="宋体"/>
                <w:kern w:val="0"/>
                <w:szCs w:val="21"/>
              </w:rPr>
              <w:t>JT/T 645.2</w:t>
            </w:r>
            <w:r>
              <w:rPr>
                <w:rFonts w:hint="eastAsia" w:ascii="宋体" w:hAnsi="宋体" w:eastAsia="宋体" w:cs="宋体"/>
                <w:kern w:val="0"/>
                <w:szCs w:val="21"/>
              </w:rPr>
              <w:t>—</w:t>
            </w:r>
            <w:r>
              <w:rPr>
                <w:rFonts w:ascii="宋体" w:hAnsi="宋体" w:eastAsia="宋体" w:cs="宋体"/>
                <w:kern w:val="0"/>
                <w:szCs w:val="21"/>
              </w:rPr>
              <w:t>2016</w:t>
            </w:r>
          </w:p>
        </w:tc>
        <w:tc>
          <w:tcPr>
            <w:tcW w:w="846" w:type="dxa"/>
            <w:vAlign w:val="center"/>
          </w:tcPr>
          <w:p>
            <w:pPr>
              <w:jc w:val="center"/>
              <w:rPr>
                <w:rFonts w:hint="eastAsia" w:ascii="宋体" w:hAnsi="宋体" w:eastAsia="宋体" w:cs="宋体"/>
                <w:kern w:val="0"/>
                <w:szCs w:val="21"/>
              </w:rPr>
            </w:pPr>
            <w:r>
              <w:rPr>
                <w:rFonts w:ascii="宋体" w:hAnsi="宋体" w:eastAsia="宋体" w:cs="宋体"/>
                <w:kern w:val="0"/>
                <w:szCs w:val="21"/>
              </w:rPr>
              <w:t>12</w:t>
            </w:r>
          </w:p>
        </w:tc>
        <w:tc>
          <w:tcPr>
            <w:tcW w:w="988" w:type="dxa"/>
            <w:vAlign w:val="center"/>
          </w:tcPr>
          <w:p>
            <w:pPr>
              <w:jc w:val="center"/>
              <w:rPr>
                <w:rFonts w:hint="eastAsia" w:ascii="宋体" w:hAnsi="宋体" w:eastAsia="宋体" w:cs="宋体"/>
                <w:kern w:val="0"/>
                <w:szCs w:val="21"/>
              </w:rPr>
            </w:pPr>
            <w:r>
              <w:rPr>
                <w:rFonts w:ascii="宋体" w:hAnsi="宋体" w:eastAsia="宋体" w:cs="宋体"/>
                <w:kern w:val="0"/>
                <w:szCs w:val="21"/>
              </w:rPr>
              <w:t>环境保护标委会</w:t>
            </w:r>
          </w:p>
        </w:tc>
        <w:tc>
          <w:tcPr>
            <w:tcW w:w="2799" w:type="dxa"/>
            <w:vAlign w:val="center"/>
          </w:tcPr>
          <w:p>
            <w:pPr>
              <w:rPr>
                <w:rFonts w:hint="eastAsia" w:ascii="宋体" w:hAnsi="宋体" w:eastAsia="宋体" w:cs="宋体"/>
                <w:kern w:val="0"/>
                <w:szCs w:val="21"/>
              </w:rPr>
            </w:pPr>
            <w:r>
              <w:rPr>
                <w:rFonts w:ascii="宋体" w:hAnsi="宋体" w:eastAsia="宋体" w:cs="宋体"/>
                <w:kern w:val="0"/>
                <w:szCs w:val="21"/>
              </w:rPr>
              <w:t>交通运输部公路科学研究所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568" w:hRule="atLeast"/>
        </w:trPr>
        <w:tc>
          <w:tcPr>
            <w:tcW w:w="562" w:type="dxa"/>
            <w:vAlign w:val="center"/>
          </w:tcPr>
          <w:p>
            <w:pPr>
              <w:jc w:val="center"/>
              <w:rPr>
                <w:rFonts w:hint="eastAsia" w:ascii="宋体" w:hAnsi="宋体" w:eastAsia="宋体" w:cs="Times New Roman"/>
                <w:bCs/>
                <w:kern w:val="0"/>
                <w:szCs w:val="21"/>
              </w:rPr>
            </w:pPr>
            <w:r>
              <w:rPr>
                <w:rFonts w:hint="eastAsia" w:ascii="宋体" w:hAnsi="宋体" w:eastAsia="宋体" w:cs="Times New Roman"/>
                <w:bCs/>
                <w:kern w:val="0"/>
                <w:szCs w:val="21"/>
              </w:rPr>
              <w:t>35</w:t>
            </w:r>
          </w:p>
        </w:tc>
        <w:tc>
          <w:tcPr>
            <w:tcW w:w="1134" w:type="dxa"/>
            <w:vAlign w:val="center"/>
          </w:tcPr>
          <w:p>
            <w:pPr>
              <w:jc w:val="center"/>
              <w:rPr>
                <w:rFonts w:hint="eastAsia" w:ascii="宋体" w:hAnsi="宋体" w:eastAsia="宋体" w:cs="宋体"/>
                <w:color w:val="000000"/>
                <w:kern w:val="0"/>
                <w:szCs w:val="21"/>
              </w:rPr>
            </w:pPr>
            <w:r>
              <w:rPr>
                <w:rFonts w:hint="eastAsia" w:ascii="宋体" w:hAnsi="宋体" w:eastAsia="宋体"/>
                <w:kern w:val="0"/>
                <w:szCs w:val="21"/>
              </w:rPr>
              <w:t>JT 2024-35</w:t>
            </w:r>
          </w:p>
        </w:tc>
        <w:tc>
          <w:tcPr>
            <w:tcW w:w="1560" w:type="dxa"/>
            <w:vAlign w:val="center"/>
          </w:tcPr>
          <w:p>
            <w:pPr>
              <w:rPr>
                <w:rFonts w:hint="eastAsia" w:ascii="宋体" w:hAnsi="宋体" w:eastAsia="宋体" w:cs="Times New Roman"/>
                <w:kern w:val="0"/>
                <w:szCs w:val="21"/>
              </w:rPr>
            </w:pPr>
            <w:r>
              <w:rPr>
                <w:rFonts w:ascii="宋体" w:hAnsi="宋体" w:eastAsia="宋体" w:cs="Times New Roman"/>
                <w:kern w:val="0"/>
                <w:szCs w:val="21"/>
              </w:rPr>
              <w:t>公路服务区污水再生利用  第3部分：处理系统操作管理要求</w:t>
            </w:r>
          </w:p>
        </w:tc>
        <w:tc>
          <w:tcPr>
            <w:tcW w:w="5528" w:type="dxa"/>
            <w:vAlign w:val="center"/>
          </w:tcPr>
          <w:p>
            <w:pPr>
              <w:widowControl/>
              <w:rPr>
                <w:rFonts w:hint="eastAsia" w:ascii="宋体" w:hAnsi="宋体" w:eastAsia="宋体" w:cs="Times New Roman"/>
                <w:kern w:val="0"/>
                <w:szCs w:val="21"/>
              </w:rPr>
            </w:pPr>
            <w:r>
              <w:rPr>
                <w:rFonts w:ascii="宋体" w:hAnsi="宋体" w:eastAsia="宋体" w:cs="Times New Roman"/>
                <w:kern w:val="0"/>
                <w:szCs w:val="21"/>
              </w:rPr>
              <w:t>现行标准规定了服务区污水再生利用处理系统操作管理的基本要求和主要设施操作管理要求</w:t>
            </w:r>
            <w:r>
              <w:rPr>
                <w:rFonts w:hint="eastAsia" w:ascii="宋体" w:hAnsi="宋体" w:eastAsia="宋体" w:cs="Times New Roman"/>
                <w:kern w:val="0"/>
                <w:szCs w:val="21"/>
              </w:rPr>
              <w:t>。</w:t>
            </w:r>
          </w:p>
          <w:p>
            <w:pPr>
              <w:widowControl/>
              <w:rPr>
                <w:rFonts w:hint="eastAsia" w:ascii="宋体" w:hAnsi="宋体" w:eastAsia="宋体" w:cs="Times New Roman"/>
                <w:kern w:val="0"/>
                <w:szCs w:val="21"/>
              </w:rPr>
            </w:pPr>
            <w:r>
              <w:rPr>
                <w:rFonts w:ascii="宋体" w:hAnsi="宋体" w:eastAsia="宋体" w:cs="Times New Roman"/>
                <w:kern w:val="0"/>
                <w:szCs w:val="21"/>
              </w:rPr>
              <w:t>适用于公路服务区污水再生利用处理系统的操作管理。</w:t>
            </w:r>
          </w:p>
          <w:p>
            <w:pPr>
              <w:widowControl/>
              <w:rPr>
                <w:rFonts w:hint="eastAsia" w:ascii="宋体" w:hAnsi="宋体" w:eastAsia="宋体" w:cs="Times New Roman"/>
                <w:kern w:val="0"/>
                <w:szCs w:val="21"/>
              </w:rPr>
            </w:pPr>
            <w:r>
              <w:rPr>
                <w:rFonts w:ascii="宋体" w:hAnsi="宋体" w:eastAsia="宋体" w:cs="Times New Roman"/>
                <w:kern w:val="0"/>
                <w:szCs w:val="21"/>
              </w:rPr>
              <w:t>主要修订内容：1.增加能耗监管和运维保障技术措施要求；2.增加基本要求中运行要求信息化管理功能要求；3.完善“安全利用要求”。</w:t>
            </w:r>
          </w:p>
        </w:tc>
        <w:tc>
          <w:tcPr>
            <w:tcW w:w="709" w:type="dxa"/>
            <w:vAlign w:val="center"/>
          </w:tcPr>
          <w:p>
            <w:pPr>
              <w:jc w:val="center"/>
              <w:rPr>
                <w:rFonts w:hint="eastAsia" w:ascii="宋体" w:hAnsi="宋体" w:eastAsia="宋体" w:cs="宋体"/>
                <w:kern w:val="0"/>
                <w:szCs w:val="21"/>
              </w:rPr>
            </w:pPr>
            <w:r>
              <w:rPr>
                <w:rFonts w:ascii="宋体" w:hAnsi="宋体" w:eastAsia="宋体" w:cs="宋体"/>
                <w:kern w:val="0"/>
                <w:szCs w:val="21"/>
              </w:rPr>
              <w:t>修订</w:t>
            </w:r>
          </w:p>
        </w:tc>
        <w:tc>
          <w:tcPr>
            <w:tcW w:w="1121" w:type="dxa"/>
            <w:vAlign w:val="center"/>
          </w:tcPr>
          <w:p>
            <w:pPr>
              <w:jc w:val="center"/>
              <w:rPr>
                <w:rFonts w:hint="eastAsia" w:ascii="宋体" w:hAnsi="宋体" w:eastAsia="宋体" w:cs="宋体"/>
                <w:kern w:val="0"/>
                <w:szCs w:val="21"/>
              </w:rPr>
            </w:pPr>
            <w:r>
              <w:rPr>
                <w:rFonts w:ascii="宋体" w:hAnsi="宋体" w:eastAsia="宋体" w:cs="宋体"/>
                <w:kern w:val="0"/>
                <w:szCs w:val="21"/>
              </w:rPr>
              <w:t>JT/T 645.3</w:t>
            </w:r>
            <w:r>
              <w:rPr>
                <w:rFonts w:hint="eastAsia" w:ascii="宋体" w:hAnsi="宋体" w:eastAsia="宋体" w:cs="宋体"/>
                <w:kern w:val="0"/>
                <w:szCs w:val="21"/>
              </w:rPr>
              <w:t>—</w:t>
            </w:r>
            <w:r>
              <w:rPr>
                <w:rFonts w:ascii="宋体" w:hAnsi="宋体" w:eastAsia="宋体" w:cs="宋体"/>
                <w:kern w:val="0"/>
                <w:szCs w:val="21"/>
              </w:rPr>
              <w:t>2016</w:t>
            </w:r>
          </w:p>
        </w:tc>
        <w:tc>
          <w:tcPr>
            <w:tcW w:w="846" w:type="dxa"/>
            <w:vAlign w:val="center"/>
          </w:tcPr>
          <w:p>
            <w:pPr>
              <w:jc w:val="center"/>
              <w:rPr>
                <w:rFonts w:hint="eastAsia" w:ascii="宋体" w:hAnsi="宋体" w:eastAsia="宋体" w:cs="宋体"/>
                <w:kern w:val="0"/>
                <w:szCs w:val="21"/>
              </w:rPr>
            </w:pPr>
            <w:r>
              <w:rPr>
                <w:rFonts w:ascii="宋体" w:hAnsi="宋体" w:eastAsia="宋体" w:cs="宋体"/>
                <w:kern w:val="0"/>
                <w:szCs w:val="21"/>
              </w:rPr>
              <w:t>12</w:t>
            </w:r>
          </w:p>
        </w:tc>
        <w:tc>
          <w:tcPr>
            <w:tcW w:w="988" w:type="dxa"/>
            <w:vAlign w:val="center"/>
          </w:tcPr>
          <w:p>
            <w:pPr>
              <w:jc w:val="center"/>
              <w:rPr>
                <w:rFonts w:hint="eastAsia" w:ascii="宋体" w:hAnsi="宋体" w:eastAsia="宋体" w:cs="宋体"/>
                <w:kern w:val="0"/>
                <w:szCs w:val="21"/>
              </w:rPr>
            </w:pPr>
            <w:r>
              <w:rPr>
                <w:rFonts w:ascii="宋体" w:hAnsi="宋体" w:eastAsia="宋体" w:cs="宋体"/>
                <w:kern w:val="0"/>
                <w:szCs w:val="21"/>
              </w:rPr>
              <w:t>环境保护标委会</w:t>
            </w:r>
          </w:p>
        </w:tc>
        <w:tc>
          <w:tcPr>
            <w:tcW w:w="2799" w:type="dxa"/>
            <w:vAlign w:val="center"/>
          </w:tcPr>
          <w:p>
            <w:pPr>
              <w:rPr>
                <w:rFonts w:hint="eastAsia" w:ascii="宋体" w:hAnsi="宋体" w:eastAsia="宋体" w:cs="宋体"/>
                <w:kern w:val="0"/>
                <w:szCs w:val="21"/>
              </w:rPr>
            </w:pPr>
            <w:r>
              <w:rPr>
                <w:rFonts w:ascii="宋体" w:hAnsi="宋体" w:eastAsia="宋体" w:cs="宋体"/>
                <w:kern w:val="0"/>
                <w:szCs w:val="21"/>
              </w:rPr>
              <w:t>交通运输部公路科学研究所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568" w:hRule="atLeast"/>
        </w:trPr>
        <w:tc>
          <w:tcPr>
            <w:tcW w:w="562" w:type="dxa"/>
            <w:vAlign w:val="center"/>
          </w:tcPr>
          <w:p>
            <w:pPr>
              <w:jc w:val="center"/>
              <w:rPr>
                <w:rFonts w:hint="eastAsia" w:ascii="宋体" w:hAnsi="宋体" w:eastAsia="宋体" w:cs="Times New Roman"/>
                <w:bCs/>
                <w:kern w:val="0"/>
                <w:szCs w:val="21"/>
              </w:rPr>
            </w:pPr>
            <w:r>
              <w:rPr>
                <w:rFonts w:hint="eastAsia" w:ascii="宋体" w:hAnsi="宋体" w:eastAsia="宋体" w:cs="Times New Roman"/>
                <w:bCs/>
                <w:kern w:val="0"/>
                <w:szCs w:val="21"/>
              </w:rPr>
              <w:t>36</w:t>
            </w:r>
          </w:p>
        </w:tc>
        <w:tc>
          <w:tcPr>
            <w:tcW w:w="1134" w:type="dxa"/>
            <w:vAlign w:val="center"/>
          </w:tcPr>
          <w:p>
            <w:pPr>
              <w:jc w:val="center"/>
              <w:rPr>
                <w:rFonts w:hint="eastAsia" w:ascii="宋体" w:hAnsi="宋体" w:eastAsia="宋体" w:cs="宋体"/>
                <w:color w:val="000000"/>
                <w:kern w:val="0"/>
                <w:szCs w:val="21"/>
              </w:rPr>
            </w:pPr>
            <w:r>
              <w:rPr>
                <w:rFonts w:hint="eastAsia" w:ascii="宋体" w:hAnsi="宋体" w:eastAsia="宋体"/>
                <w:kern w:val="0"/>
                <w:szCs w:val="21"/>
              </w:rPr>
              <w:t>JT 2024-36</w:t>
            </w:r>
          </w:p>
        </w:tc>
        <w:tc>
          <w:tcPr>
            <w:tcW w:w="1560" w:type="dxa"/>
            <w:vAlign w:val="center"/>
          </w:tcPr>
          <w:p>
            <w:pPr>
              <w:rPr>
                <w:rFonts w:hint="eastAsia" w:ascii="宋体" w:hAnsi="宋体" w:eastAsia="宋体" w:cs="Times New Roman"/>
                <w:kern w:val="0"/>
                <w:szCs w:val="21"/>
              </w:rPr>
            </w:pPr>
            <w:r>
              <w:rPr>
                <w:rFonts w:ascii="宋体" w:hAnsi="宋体" w:eastAsia="宋体" w:cs="Times New Roman"/>
                <w:kern w:val="0"/>
                <w:szCs w:val="21"/>
              </w:rPr>
              <w:t>交通运输专项规划环境影响评价技术规范  第2部分：港口总体规划</w:t>
            </w:r>
          </w:p>
        </w:tc>
        <w:tc>
          <w:tcPr>
            <w:tcW w:w="5528" w:type="dxa"/>
            <w:vAlign w:val="center"/>
          </w:tcPr>
          <w:p>
            <w:pPr>
              <w:widowControl/>
              <w:rPr>
                <w:rFonts w:hint="eastAsia" w:ascii="宋体" w:hAnsi="宋体" w:eastAsia="宋体" w:cs="Times New Roman"/>
                <w:kern w:val="0"/>
                <w:szCs w:val="21"/>
              </w:rPr>
            </w:pPr>
            <w:r>
              <w:rPr>
                <w:rFonts w:ascii="宋体" w:hAnsi="宋体" w:eastAsia="宋体" w:cs="Times New Roman"/>
                <w:kern w:val="0"/>
                <w:szCs w:val="21"/>
              </w:rPr>
              <w:t>现行标准规定了港口总体规划环境影响评价的规划分析、资源环境现状调查与评价、环境影响识别与评价指标体系构建、环境影响评价、规划方案综合论证和优化调整建议、环境影响减缓措施、环境影响跟踪评价、公众参与和评价结论等要求</w:t>
            </w:r>
            <w:r>
              <w:rPr>
                <w:rFonts w:hint="eastAsia" w:ascii="宋体" w:hAnsi="宋体" w:eastAsia="宋体" w:cs="Times New Roman"/>
                <w:kern w:val="0"/>
                <w:szCs w:val="21"/>
              </w:rPr>
              <w:t>。</w:t>
            </w:r>
          </w:p>
          <w:p>
            <w:pPr>
              <w:widowControl/>
              <w:rPr>
                <w:rFonts w:hint="eastAsia" w:ascii="宋体" w:hAnsi="宋体" w:eastAsia="宋体" w:cs="Times New Roman"/>
                <w:kern w:val="0"/>
                <w:szCs w:val="21"/>
              </w:rPr>
            </w:pPr>
            <w:r>
              <w:rPr>
                <w:rFonts w:ascii="宋体" w:hAnsi="宋体" w:eastAsia="宋体" w:cs="Times New Roman"/>
                <w:kern w:val="0"/>
                <w:szCs w:val="21"/>
              </w:rPr>
              <w:t>适用于港口总体规划的环境影响评价。</w:t>
            </w:r>
          </w:p>
          <w:p>
            <w:pPr>
              <w:widowControl/>
              <w:rPr>
                <w:rFonts w:hint="eastAsia" w:ascii="宋体" w:hAnsi="宋体" w:eastAsia="宋体" w:cs="Times New Roman"/>
                <w:kern w:val="0"/>
                <w:szCs w:val="21"/>
              </w:rPr>
            </w:pPr>
            <w:r>
              <w:rPr>
                <w:rFonts w:ascii="宋体" w:hAnsi="宋体" w:eastAsia="宋体" w:cs="Times New Roman"/>
                <w:kern w:val="0"/>
                <w:szCs w:val="21"/>
              </w:rPr>
              <w:t>主要修订内容：1.增加与港口海域生物安全、“三线一单”等相关术语和定义；2.规划分析章节，删除规划不确定性分析内容等；3.资源环境调查与评价章节，增加港口海域生物安全、分析区域“三线一单”等内容；4.环境影响评价章节，增加外来生物对水生生态的影响分析、碳排放影响预测与评价等；5.细化规划所包含建设项目的环评简化要求及关注重点等内容。</w:t>
            </w:r>
          </w:p>
        </w:tc>
        <w:tc>
          <w:tcPr>
            <w:tcW w:w="709" w:type="dxa"/>
            <w:vAlign w:val="center"/>
          </w:tcPr>
          <w:p>
            <w:pPr>
              <w:jc w:val="center"/>
              <w:rPr>
                <w:rFonts w:hint="eastAsia" w:ascii="宋体" w:hAnsi="宋体" w:eastAsia="宋体" w:cs="宋体"/>
                <w:kern w:val="0"/>
                <w:szCs w:val="21"/>
              </w:rPr>
            </w:pPr>
            <w:r>
              <w:rPr>
                <w:rFonts w:ascii="宋体" w:hAnsi="宋体" w:eastAsia="宋体" w:cs="宋体"/>
                <w:kern w:val="0"/>
                <w:szCs w:val="21"/>
              </w:rPr>
              <w:t>修订</w:t>
            </w:r>
          </w:p>
        </w:tc>
        <w:tc>
          <w:tcPr>
            <w:tcW w:w="1121" w:type="dxa"/>
            <w:vAlign w:val="center"/>
          </w:tcPr>
          <w:p>
            <w:pPr>
              <w:jc w:val="center"/>
              <w:rPr>
                <w:rFonts w:hint="eastAsia" w:ascii="宋体" w:hAnsi="宋体" w:eastAsia="宋体" w:cs="宋体"/>
                <w:kern w:val="0"/>
                <w:szCs w:val="21"/>
              </w:rPr>
            </w:pPr>
            <w:r>
              <w:rPr>
                <w:rFonts w:ascii="宋体" w:hAnsi="宋体" w:eastAsia="宋体" w:cs="宋体"/>
                <w:kern w:val="0"/>
                <w:szCs w:val="21"/>
              </w:rPr>
              <w:t>JT/T 1146.2</w:t>
            </w:r>
            <w:r>
              <w:rPr>
                <w:rFonts w:hint="eastAsia" w:ascii="宋体" w:hAnsi="宋体" w:eastAsia="宋体" w:cs="宋体"/>
                <w:kern w:val="0"/>
                <w:szCs w:val="21"/>
              </w:rPr>
              <w:t>—</w:t>
            </w:r>
            <w:r>
              <w:rPr>
                <w:rFonts w:ascii="宋体" w:hAnsi="宋体" w:eastAsia="宋体" w:cs="宋体"/>
                <w:kern w:val="0"/>
                <w:szCs w:val="21"/>
              </w:rPr>
              <w:t>2018</w:t>
            </w:r>
          </w:p>
        </w:tc>
        <w:tc>
          <w:tcPr>
            <w:tcW w:w="846" w:type="dxa"/>
            <w:vAlign w:val="center"/>
          </w:tcPr>
          <w:p>
            <w:pPr>
              <w:jc w:val="center"/>
              <w:rPr>
                <w:rFonts w:hint="eastAsia" w:ascii="宋体" w:hAnsi="宋体" w:eastAsia="宋体" w:cs="宋体"/>
                <w:kern w:val="0"/>
                <w:szCs w:val="21"/>
              </w:rPr>
            </w:pPr>
            <w:r>
              <w:rPr>
                <w:rFonts w:ascii="宋体" w:hAnsi="宋体" w:eastAsia="宋体" w:cs="宋体"/>
                <w:kern w:val="0"/>
                <w:szCs w:val="21"/>
              </w:rPr>
              <w:t>12</w:t>
            </w:r>
          </w:p>
        </w:tc>
        <w:tc>
          <w:tcPr>
            <w:tcW w:w="988" w:type="dxa"/>
            <w:vAlign w:val="center"/>
          </w:tcPr>
          <w:p>
            <w:pPr>
              <w:jc w:val="center"/>
              <w:rPr>
                <w:rFonts w:hint="eastAsia" w:ascii="宋体" w:hAnsi="宋体" w:eastAsia="宋体" w:cs="宋体"/>
                <w:kern w:val="0"/>
                <w:szCs w:val="21"/>
              </w:rPr>
            </w:pPr>
            <w:r>
              <w:rPr>
                <w:rFonts w:ascii="宋体" w:hAnsi="宋体" w:eastAsia="宋体" w:cs="宋体"/>
                <w:kern w:val="0"/>
                <w:szCs w:val="21"/>
              </w:rPr>
              <w:t>环境保护标委会</w:t>
            </w:r>
          </w:p>
        </w:tc>
        <w:tc>
          <w:tcPr>
            <w:tcW w:w="2799" w:type="dxa"/>
            <w:vAlign w:val="center"/>
          </w:tcPr>
          <w:p>
            <w:pPr>
              <w:rPr>
                <w:rFonts w:hint="eastAsia" w:ascii="宋体" w:hAnsi="宋体" w:eastAsia="宋体" w:cs="宋体"/>
                <w:kern w:val="0"/>
                <w:szCs w:val="21"/>
              </w:rPr>
            </w:pPr>
            <w:r>
              <w:rPr>
                <w:rFonts w:ascii="宋体" w:hAnsi="宋体" w:eastAsia="宋体" w:cs="宋体"/>
                <w:kern w:val="0"/>
                <w:szCs w:val="21"/>
              </w:rPr>
              <w:t>交通运输部天津水运工程科学研究所、宁波舟山港股份有限公司、北部湾港股份有限公司、江苏省港口集团有限公司</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568" w:hRule="atLeast"/>
        </w:trPr>
        <w:tc>
          <w:tcPr>
            <w:tcW w:w="562" w:type="dxa"/>
            <w:vAlign w:val="center"/>
          </w:tcPr>
          <w:p>
            <w:pPr>
              <w:jc w:val="center"/>
              <w:rPr>
                <w:rFonts w:hint="eastAsia" w:ascii="宋体" w:hAnsi="宋体" w:eastAsia="宋体" w:cs="Times New Roman"/>
                <w:bCs/>
                <w:kern w:val="0"/>
                <w:szCs w:val="21"/>
              </w:rPr>
            </w:pPr>
            <w:r>
              <w:rPr>
                <w:rFonts w:hint="eastAsia" w:ascii="宋体" w:hAnsi="宋体" w:eastAsia="宋体" w:cs="Times New Roman"/>
                <w:bCs/>
                <w:kern w:val="0"/>
                <w:szCs w:val="21"/>
              </w:rPr>
              <w:t>37</w:t>
            </w:r>
          </w:p>
        </w:tc>
        <w:tc>
          <w:tcPr>
            <w:tcW w:w="1134" w:type="dxa"/>
            <w:vAlign w:val="center"/>
          </w:tcPr>
          <w:p>
            <w:pPr>
              <w:jc w:val="center"/>
              <w:rPr>
                <w:rFonts w:hint="eastAsia" w:ascii="宋体" w:hAnsi="宋体" w:eastAsia="宋体" w:cs="宋体"/>
                <w:color w:val="000000"/>
                <w:kern w:val="0"/>
                <w:szCs w:val="21"/>
              </w:rPr>
            </w:pPr>
            <w:r>
              <w:rPr>
                <w:rFonts w:hint="eastAsia" w:ascii="宋体" w:hAnsi="宋体" w:eastAsia="宋体"/>
                <w:kern w:val="0"/>
                <w:szCs w:val="21"/>
              </w:rPr>
              <w:t>JT 2024-37</w:t>
            </w:r>
          </w:p>
        </w:tc>
        <w:tc>
          <w:tcPr>
            <w:tcW w:w="1560" w:type="dxa"/>
            <w:vAlign w:val="center"/>
          </w:tcPr>
          <w:p>
            <w:pPr>
              <w:rPr>
                <w:rFonts w:hint="eastAsia" w:ascii="宋体" w:hAnsi="宋体" w:eastAsia="宋体" w:cs="Times New Roman"/>
                <w:kern w:val="0"/>
                <w:szCs w:val="21"/>
              </w:rPr>
            </w:pPr>
            <w:r>
              <w:rPr>
                <w:rFonts w:ascii="宋体" w:hAnsi="宋体" w:eastAsia="宋体" w:cs="Times New Roman"/>
                <w:kern w:val="0"/>
                <w:szCs w:val="21"/>
              </w:rPr>
              <w:t>交通运输专项规划环境影响评价技术规范  第3部分：内河航道建设规划</w:t>
            </w:r>
          </w:p>
        </w:tc>
        <w:tc>
          <w:tcPr>
            <w:tcW w:w="5528" w:type="dxa"/>
            <w:vAlign w:val="center"/>
          </w:tcPr>
          <w:p>
            <w:pPr>
              <w:widowControl/>
              <w:rPr>
                <w:rFonts w:hint="eastAsia" w:ascii="宋体" w:hAnsi="宋体" w:eastAsia="宋体" w:cs="Times New Roman"/>
                <w:kern w:val="0"/>
                <w:szCs w:val="21"/>
              </w:rPr>
            </w:pPr>
            <w:r>
              <w:rPr>
                <w:rFonts w:ascii="宋体" w:hAnsi="宋体" w:eastAsia="宋体" w:cs="Times New Roman"/>
                <w:kern w:val="0"/>
                <w:szCs w:val="21"/>
              </w:rPr>
              <w:t>现行标准规定了内河航道建设规划环境影响评价的</w:t>
            </w:r>
            <w:r>
              <w:rPr>
                <w:rFonts w:hint="eastAsia" w:ascii="宋体" w:hAnsi="宋体" w:eastAsia="宋体" w:cs="Times New Roman"/>
                <w:kern w:val="0"/>
                <w:szCs w:val="21"/>
              </w:rPr>
              <w:t>规划分析、现状调查与评价、环境影响识别与评价指标体系、环境影响预测与评价、规划方案综合论证和优化调整建议、环境影响减缓对策和措施、环境影响跟踪评价计划、公众参与、评价结论和环境影响评价文件目录及</w:t>
            </w:r>
            <w:r>
              <w:rPr>
                <w:rFonts w:ascii="宋体" w:hAnsi="宋体" w:eastAsia="宋体" w:cs="Times New Roman"/>
                <w:kern w:val="0"/>
                <w:szCs w:val="21"/>
              </w:rPr>
              <w:t>编制要求</w:t>
            </w:r>
            <w:r>
              <w:rPr>
                <w:rFonts w:hint="eastAsia" w:ascii="宋体" w:hAnsi="宋体" w:eastAsia="宋体" w:cs="Times New Roman"/>
                <w:kern w:val="0"/>
                <w:szCs w:val="21"/>
              </w:rPr>
              <w:t>等。</w:t>
            </w:r>
          </w:p>
          <w:p>
            <w:pPr>
              <w:widowControl/>
              <w:rPr>
                <w:rFonts w:hint="eastAsia" w:ascii="宋体" w:hAnsi="宋体" w:eastAsia="宋体" w:cs="Times New Roman"/>
                <w:kern w:val="0"/>
                <w:szCs w:val="21"/>
              </w:rPr>
            </w:pPr>
            <w:r>
              <w:rPr>
                <w:rFonts w:ascii="宋体" w:hAnsi="宋体" w:eastAsia="宋体" w:cs="Times New Roman"/>
                <w:kern w:val="0"/>
                <w:szCs w:val="21"/>
              </w:rPr>
              <w:t>适用于内河航道建设规划的环境影响评价。</w:t>
            </w:r>
          </w:p>
          <w:p>
            <w:pPr>
              <w:widowControl/>
              <w:rPr>
                <w:rFonts w:hint="eastAsia" w:ascii="宋体" w:hAnsi="宋体" w:eastAsia="宋体" w:cs="Times New Roman"/>
                <w:kern w:val="0"/>
                <w:szCs w:val="21"/>
              </w:rPr>
            </w:pPr>
            <w:r>
              <w:rPr>
                <w:rFonts w:ascii="宋体" w:hAnsi="宋体" w:eastAsia="宋体" w:cs="Times New Roman"/>
                <w:kern w:val="0"/>
                <w:szCs w:val="21"/>
              </w:rPr>
              <w:t>主要修订内容：1.删除不确定性分析；2.增加对国控、省考断面的预测影响分析；3.增加环保督查、环保投诉及整改情况；4.增加规划方案环境效益的论证；5.“三线一单”管控要求章节，加强与各省市“三线一单”管控要求相符性进行分析，不再制定“三线一单”管控要求；6.增加生态环境管控要求和生态环境准入清单。</w:t>
            </w:r>
          </w:p>
        </w:tc>
        <w:tc>
          <w:tcPr>
            <w:tcW w:w="709" w:type="dxa"/>
            <w:vAlign w:val="center"/>
          </w:tcPr>
          <w:p>
            <w:pPr>
              <w:jc w:val="center"/>
              <w:rPr>
                <w:rFonts w:hint="eastAsia" w:ascii="宋体" w:hAnsi="宋体" w:eastAsia="宋体" w:cs="宋体"/>
                <w:kern w:val="0"/>
                <w:szCs w:val="21"/>
              </w:rPr>
            </w:pPr>
            <w:r>
              <w:rPr>
                <w:rFonts w:ascii="宋体" w:hAnsi="宋体" w:eastAsia="宋体" w:cs="宋体"/>
                <w:kern w:val="0"/>
                <w:szCs w:val="21"/>
              </w:rPr>
              <w:t>修订</w:t>
            </w:r>
          </w:p>
        </w:tc>
        <w:tc>
          <w:tcPr>
            <w:tcW w:w="1121" w:type="dxa"/>
            <w:vAlign w:val="center"/>
          </w:tcPr>
          <w:p>
            <w:pPr>
              <w:jc w:val="center"/>
              <w:rPr>
                <w:rFonts w:hint="eastAsia" w:ascii="宋体" w:hAnsi="宋体" w:eastAsia="宋体" w:cs="宋体"/>
                <w:kern w:val="0"/>
                <w:szCs w:val="21"/>
              </w:rPr>
            </w:pPr>
            <w:r>
              <w:rPr>
                <w:rFonts w:ascii="宋体" w:hAnsi="宋体" w:eastAsia="宋体" w:cs="宋体"/>
                <w:kern w:val="0"/>
                <w:szCs w:val="21"/>
              </w:rPr>
              <w:t>JT/T 1146.3</w:t>
            </w:r>
            <w:r>
              <w:rPr>
                <w:rFonts w:hint="eastAsia" w:ascii="宋体" w:hAnsi="宋体" w:eastAsia="宋体" w:cs="宋体"/>
                <w:kern w:val="0"/>
                <w:szCs w:val="21"/>
              </w:rPr>
              <w:t>—</w:t>
            </w:r>
            <w:r>
              <w:rPr>
                <w:rFonts w:ascii="宋体" w:hAnsi="宋体" w:eastAsia="宋体" w:cs="宋体"/>
                <w:kern w:val="0"/>
                <w:szCs w:val="21"/>
              </w:rPr>
              <w:t>2018</w:t>
            </w:r>
          </w:p>
        </w:tc>
        <w:tc>
          <w:tcPr>
            <w:tcW w:w="846" w:type="dxa"/>
            <w:vAlign w:val="center"/>
          </w:tcPr>
          <w:p>
            <w:pPr>
              <w:jc w:val="center"/>
              <w:rPr>
                <w:rFonts w:hint="eastAsia" w:ascii="宋体" w:hAnsi="宋体" w:eastAsia="宋体" w:cs="宋体"/>
                <w:kern w:val="0"/>
                <w:szCs w:val="21"/>
              </w:rPr>
            </w:pPr>
            <w:r>
              <w:rPr>
                <w:rFonts w:ascii="宋体" w:hAnsi="宋体" w:eastAsia="宋体" w:cs="宋体"/>
                <w:kern w:val="0"/>
                <w:szCs w:val="21"/>
              </w:rPr>
              <w:t>12</w:t>
            </w:r>
          </w:p>
        </w:tc>
        <w:tc>
          <w:tcPr>
            <w:tcW w:w="988" w:type="dxa"/>
            <w:vAlign w:val="center"/>
          </w:tcPr>
          <w:p>
            <w:pPr>
              <w:jc w:val="center"/>
              <w:rPr>
                <w:rFonts w:hint="eastAsia" w:ascii="宋体" w:hAnsi="宋体" w:eastAsia="宋体" w:cs="宋体"/>
                <w:kern w:val="0"/>
                <w:szCs w:val="21"/>
              </w:rPr>
            </w:pPr>
            <w:r>
              <w:rPr>
                <w:rFonts w:ascii="宋体" w:hAnsi="宋体" w:eastAsia="宋体" w:cs="宋体"/>
                <w:kern w:val="0"/>
                <w:szCs w:val="21"/>
              </w:rPr>
              <w:t>环境保护标委会</w:t>
            </w:r>
          </w:p>
        </w:tc>
        <w:tc>
          <w:tcPr>
            <w:tcW w:w="2799" w:type="dxa"/>
            <w:vAlign w:val="center"/>
          </w:tcPr>
          <w:p>
            <w:pPr>
              <w:rPr>
                <w:rFonts w:hint="eastAsia" w:ascii="宋体" w:hAnsi="宋体" w:eastAsia="宋体" w:cs="宋体"/>
                <w:kern w:val="0"/>
                <w:szCs w:val="21"/>
              </w:rPr>
            </w:pPr>
            <w:r>
              <w:rPr>
                <w:rFonts w:ascii="宋体" w:hAnsi="宋体" w:eastAsia="宋体" w:cs="宋体"/>
                <w:kern w:val="0"/>
                <w:szCs w:val="21"/>
              </w:rPr>
              <w:t>华设设计集团股份有限公司</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568" w:hRule="atLeast"/>
        </w:trPr>
        <w:tc>
          <w:tcPr>
            <w:tcW w:w="562" w:type="dxa"/>
            <w:vAlign w:val="center"/>
          </w:tcPr>
          <w:p>
            <w:pPr>
              <w:jc w:val="center"/>
              <w:rPr>
                <w:rFonts w:hint="eastAsia" w:ascii="宋体" w:hAnsi="宋体" w:eastAsia="宋体" w:cs="Times New Roman"/>
                <w:bCs/>
                <w:kern w:val="0"/>
                <w:szCs w:val="21"/>
              </w:rPr>
            </w:pPr>
            <w:r>
              <w:rPr>
                <w:rFonts w:hint="eastAsia" w:ascii="宋体" w:hAnsi="宋体" w:eastAsia="宋体" w:cs="Times New Roman"/>
                <w:bCs/>
                <w:kern w:val="0"/>
                <w:szCs w:val="21"/>
              </w:rPr>
              <w:t>38</w:t>
            </w:r>
          </w:p>
        </w:tc>
        <w:tc>
          <w:tcPr>
            <w:tcW w:w="1134" w:type="dxa"/>
            <w:vAlign w:val="center"/>
          </w:tcPr>
          <w:p>
            <w:pPr>
              <w:jc w:val="center"/>
              <w:rPr>
                <w:rFonts w:hint="eastAsia" w:ascii="宋体" w:hAnsi="宋体" w:eastAsia="宋体" w:cs="宋体"/>
                <w:color w:val="000000"/>
                <w:kern w:val="0"/>
                <w:szCs w:val="21"/>
              </w:rPr>
            </w:pPr>
            <w:r>
              <w:rPr>
                <w:rFonts w:hint="eastAsia" w:ascii="宋体" w:hAnsi="宋体" w:eastAsia="宋体"/>
                <w:kern w:val="0"/>
                <w:szCs w:val="21"/>
              </w:rPr>
              <w:t>JT 2024-38</w:t>
            </w:r>
          </w:p>
        </w:tc>
        <w:tc>
          <w:tcPr>
            <w:tcW w:w="1560" w:type="dxa"/>
            <w:vAlign w:val="center"/>
          </w:tcPr>
          <w:p>
            <w:pPr>
              <w:rPr>
                <w:rFonts w:hint="eastAsia" w:ascii="宋体" w:hAnsi="宋体" w:eastAsia="宋体" w:cs="Times New Roman"/>
                <w:kern w:val="0"/>
                <w:szCs w:val="21"/>
              </w:rPr>
            </w:pPr>
            <w:r>
              <w:rPr>
                <w:rFonts w:ascii="宋体" w:hAnsi="宋体" w:eastAsia="宋体" w:cs="Times New Roman"/>
                <w:kern w:val="0"/>
                <w:szCs w:val="21"/>
              </w:rPr>
              <w:t>绿色交通设施评估技术要求  第3部分：绿色航道</w:t>
            </w:r>
          </w:p>
        </w:tc>
        <w:tc>
          <w:tcPr>
            <w:tcW w:w="5528" w:type="dxa"/>
            <w:vAlign w:val="center"/>
          </w:tcPr>
          <w:p>
            <w:pPr>
              <w:widowControl/>
              <w:rPr>
                <w:rFonts w:hint="eastAsia" w:ascii="宋体" w:hAnsi="宋体" w:eastAsia="宋体" w:cs="Times New Roman"/>
                <w:kern w:val="0"/>
                <w:szCs w:val="21"/>
              </w:rPr>
            </w:pPr>
            <w:r>
              <w:rPr>
                <w:rFonts w:ascii="宋体" w:hAnsi="宋体" w:eastAsia="宋体" w:cs="Times New Roman"/>
                <w:kern w:val="0"/>
                <w:szCs w:val="21"/>
              </w:rPr>
              <w:t>现行标准规定了绿色航道和绿色船闸评估的基本要求、评估指标体系及评估方法</w:t>
            </w:r>
            <w:r>
              <w:rPr>
                <w:rFonts w:hint="eastAsia" w:ascii="宋体" w:hAnsi="宋体" w:eastAsia="宋体" w:cs="Times New Roman"/>
                <w:kern w:val="0"/>
                <w:szCs w:val="21"/>
              </w:rPr>
              <w:t>。</w:t>
            </w:r>
          </w:p>
          <w:p>
            <w:pPr>
              <w:widowControl/>
              <w:rPr>
                <w:rFonts w:hint="eastAsia" w:ascii="宋体" w:hAnsi="宋体" w:eastAsia="宋体" w:cs="Times New Roman"/>
                <w:kern w:val="0"/>
                <w:szCs w:val="21"/>
              </w:rPr>
            </w:pPr>
            <w:r>
              <w:rPr>
                <w:rFonts w:ascii="宋体" w:hAnsi="宋体" w:eastAsia="宋体" w:cs="Times New Roman"/>
                <w:kern w:val="0"/>
                <w:szCs w:val="21"/>
              </w:rPr>
              <w:t>适用于新建、改扩建的内河航道和船闸。</w:t>
            </w:r>
          </w:p>
          <w:p>
            <w:pPr>
              <w:widowControl/>
              <w:rPr>
                <w:rFonts w:hint="eastAsia" w:ascii="宋体" w:hAnsi="宋体" w:eastAsia="宋体" w:cs="Times New Roman"/>
                <w:kern w:val="0"/>
                <w:szCs w:val="21"/>
              </w:rPr>
            </w:pPr>
            <w:r>
              <w:rPr>
                <w:rFonts w:ascii="宋体" w:hAnsi="宋体" w:eastAsia="宋体" w:cs="Times New Roman"/>
                <w:kern w:val="0"/>
                <w:szCs w:val="21"/>
              </w:rPr>
              <w:t>主要修订内容：1.更改适用范围为适用于运营期的内河航道和船闸；</w:t>
            </w:r>
            <w:r>
              <w:rPr>
                <w:rFonts w:hint="eastAsia" w:ascii="宋体" w:hAnsi="宋体" w:eastAsia="宋体" w:cs="Times New Roman"/>
                <w:kern w:val="0"/>
                <w:szCs w:val="21"/>
              </w:rPr>
              <w:t>2</w:t>
            </w:r>
            <w:r>
              <w:rPr>
                <w:rFonts w:ascii="宋体" w:hAnsi="宋体" w:eastAsia="宋体" w:cs="Times New Roman"/>
                <w:kern w:val="0"/>
                <w:szCs w:val="21"/>
              </w:rPr>
              <w:t>.补充航道和船闸的总体要求；</w:t>
            </w:r>
            <w:r>
              <w:rPr>
                <w:rFonts w:hint="eastAsia" w:ascii="宋体" w:hAnsi="宋体" w:eastAsia="宋体" w:cs="Times New Roman"/>
                <w:kern w:val="0"/>
                <w:szCs w:val="21"/>
              </w:rPr>
              <w:t>3</w:t>
            </w:r>
            <w:r>
              <w:rPr>
                <w:rFonts w:ascii="宋体" w:hAnsi="宋体" w:eastAsia="宋体" w:cs="Times New Roman"/>
                <w:kern w:val="0"/>
                <w:szCs w:val="21"/>
              </w:rPr>
              <w:t>.对原有的绿色航道、绿色船闸的评估指标及评分标准进行增改和完善，包括但不限于“碳排放核算、评定与控制”、“智慧工地”等；</w:t>
            </w:r>
            <w:r>
              <w:rPr>
                <w:rFonts w:hint="eastAsia" w:ascii="宋体" w:hAnsi="宋体" w:eastAsia="宋体" w:cs="Times New Roman"/>
                <w:kern w:val="0"/>
                <w:szCs w:val="21"/>
              </w:rPr>
              <w:t>4</w:t>
            </w:r>
            <w:r>
              <w:rPr>
                <w:rFonts w:ascii="宋体" w:hAnsi="宋体" w:eastAsia="宋体" w:cs="Times New Roman"/>
                <w:kern w:val="0"/>
                <w:szCs w:val="21"/>
              </w:rPr>
              <w:t>.补充和修订绿色航道、绿色船闸评估指标体系中部分二级指标及三级指标的分值及评分方法。</w:t>
            </w:r>
          </w:p>
        </w:tc>
        <w:tc>
          <w:tcPr>
            <w:tcW w:w="709" w:type="dxa"/>
            <w:vAlign w:val="center"/>
          </w:tcPr>
          <w:p>
            <w:pPr>
              <w:jc w:val="center"/>
              <w:rPr>
                <w:rFonts w:hint="eastAsia" w:ascii="宋体" w:hAnsi="宋体" w:eastAsia="宋体" w:cs="宋体"/>
                <w:kern w:val="0"/>
                <w:szCs w:val="21"/>
              </w:rPr>
            </w:pPr>
            <w:r>
              <w:rPr>
                <w:rFonts w:ascii="宋体" w:hAnsi="宋体" w:eastAsia="宋体" w:cs="宋体"/>
                <w:kern w:val="0"/>
                <w:szCs w:val="21"/>
              </w:rPr>
              <w:t>修订</w:t>
            </w:r>
          </w:p>
        </w:tc>
        <w:tc>
          <w:tcPr>
            <w:tcW w:w="1121" w:type="dxa"/>
            <w:vAlign w:val="center"/>
          </w:tcPr>
          <w:p>
            <w:pPr>
              <w:jc w:val="center"/>
              <w:rPr>
                <w:rFonts w:hint="eastAsia" w:ascii="宋体" w:hAnsi="宋体" w:eastAsia="宋体" w:cs="宋体"/>
                <w:kern w:val="0"/>
                <w:szCs w:val="21"/>
              </w:rPr>
            </w:pPr>
            <w:r>
              <w:rPr>
                <w:rFonts w:ascii="宋体" w:hAnsi="宋体" w:eastAsia="宋体" w:cs="宋体"/>
                <w:kern w:val="0"/>
                <w:szCs w:val="21"/>
              </w:rPr>
              <w:t>JT/T 1199.3</w:t>
            </w:r>
            <w:r>
              <w:rPr>
                <w:rFonts w:hint="eastAsia" w:ascii="宋体" w:hAnsi="宋体" w:eastAsia="宋体" w:cs="宋体"/>
                <w:kern w:val="0"/>
                <w:szCs w:val="21"/>
              </w:rPr>
              <w:t>—</w:t>
            </w:r>
            <w:r>
              <w:rPr>
                <w:rFonts w:ascii="宋体" w:hAnsi="宋体" w:eastAsia="宋体" w:cs="宋体"/>
                <w:kern w:val="0"/>
                <w:szCs w:val="21"/>
              </w:rPr>
              <w:t>2018</w:t>
            </w:r>
          </w:p>
        </w:tc>
        <w:tc>
          <w:tcPr>
            <w:tcW w:w="846" w:type="dxa"/>
            <w:vAlign w:val="center"/>
          </w:tcPr>
          <w:p>
            <w:pPr>
              <w:jc w:val="center"/>
              <w:rPr>
                <w:rFonts w:hint="eastAsia" w:ascii="宋体" w:hAnsi="宋体" w:eastAsia="宋体" w:cs="宋体"/>
                <w:kern w:val="0"/>
                <w:szCs w:val="21"/>
              </w:rPr>
            </w:pPr>
            <w:r>
              <w:rPr>
                <w:rFonts w:ascii="宋体" w:hAnsi="宋体" w:eastAsia="宋体" w:cs="宋体"/>
                <w:kern w:val="0"/>
                <w:szCs w:val="21"/>
              </w:rPr>
              <w:t>12</w:t>
            </w:r>
          </w:p>
        </w:tc>
        <w:tc>
          <w:tcPr>
            <w:tcW w:w="988" w:type="dxa"/>
            <w:vAlign w:val="center"/>
          </w:tcPr>
          <w:p>
            <w:pPr>
              <w:jc w:val="center"/>
              <w:rPr>
                <w:rFonts w:hint="eastAsia" w:ascii="宋体" w:hAnsi="宋体" w:eastAsia="宋体" w:cs="宋体"/>
                <w:kern w:val="0"/>
                <w:szCs w:val="21"/>
              </w:rPr>
            </w:pPr>
            <w:r>
              <w:rPr>
                <w:rFonts w:ascii="宋体" w:hAnsi="宋体" w:eastAsia="宋体" w:cs="宋体"/>
                <w:kern w:val="0"/>
                <w:szCs w:val="21"/>
              </w:rPr>
              <w:t>环境保护标委会</w:t>
            </w:r>
          </w:p>
        </w:tc>
        <w:tc>
          <w:tcPr>
            <w:tcW w:w="2799" w:type="dxa"/>
            <w:vAlign w:val="center"/>
          </w:tcPr>
          <w:p>
            <w:pPr>
              <w:rPr>
                <w:rFonts w:hint="eastAsia" w:ascii="宋体" w:hAnsi="宋体" w:eastAsia="宋体" w:cs="宋体"/>
                <w:kern w:val="0"/>
                <w:szCs w:val="21"/>
              </w:rPr>
            </w:pPr>
            <w:r>
              <w:rPr>
                <w:rFonts w:ascii="宋体" w:hAnsi="宋体" w:eastAsia="宋体" w:cs="宋体"/>
                <w:kern w:val="0"/>
                <w:szCs w:val="21"/>
              </w:rPr>
              <w:t>交通运输部天津水运工程科学研究所、交通运输部长江口航道管理局、长江航道规划设计研究院</w:t>
            </w:r>
          </w:p>
        </w:tc>
      </w:tr>
    </w:tbl>
    <w:p>
      <w:pPr>
        <w:widowControl/>
        <w:jc w:val="left"/>
        <w:rPr>
          <w:rFonts w:hint="eastAsia" w:ascii="黑体" w:hAnsi="黑体" w:eastAsia="黑体" w:cs="Times New Roman"/>
          <w:b/>
          <w:bCs/>
          <w:sz w:val="32"/>
          <w:szCs w:val="32"/>
        </w:rPr>
      </w:pPr>
    </w:p>
    <w:p>
      <w:pPr>
        <w:spacing w:line="360" w:lineRule="auto"/>
        <w:rPr>
          <w:rFonts w:hint="eastAsia" w:ascii="黑体" w:hAnsi="黑体" w:eastAsia="黑体" w:cs="Times New Roman"/>
          <w:b/>
          <w:bCs/>
          <w:sz w:val="32"/>
          <w:szCs w:val="32"/>
        </w:rPr>
      </w:pPr>
      <w:r>
        <w:rPr>
          <w:rFonts w:hint="eastAsia" w:ascii="黑体" w:hAnsi="黑体" w:eastAsia="黑体" w:cs="Times New Roman"/>
          <w:b/>
          <w:bCs/>
          <w:sz w:val="32"/>
          <w:szCs w:val="32"/>
        </w:rPr>
        <w:t>二、行业标准外文版</w:t>
      </w:r>
    </w:p>
    <w:tbl>
      <w:tblPr>
        <w:tblStyle w:val="11"/>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85" w:type="dxa"/>
          <w:bottom w:w="0" w:type="dxa"/>
          <w:right w:w="85" w:type="dxa"/>
        </w:tblCellMar>
      </w:tblPr>
      <w:tblGrid>
        <w:gridCol w:w="713"/>
        <w:gridCol w:w="1577"/>
        <w:gridCol w:w="3300"/>
        <w:gridCol w:w="1723"/>
        <w:gridCol w:w="860"/>
        <w:gridCol w:w="1577"/>
        <w:gridCol w:w="2752"/>
        <w:gridCol w:w="280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85" w:type="dxa"/>
            <w:bottom w:w="0" w:type="dxa"/>
            <w:right w:w="85" w:type="dxa"/>
          </w:tblCellMar>
        </w:tblPrEx>
        <w:trPr>
          <w:cantSplit/>
          <w:trHeight w:val="567" w:hRule="atLeast"/>
          <w:tblHeader/>
        </w:trPr>
        <w:tc>
          <w:tcPr>
            <w:tcW w:w="233" w:type="pct"/>
            <w:vAlign w:val="center"/>
          </w:tcPr>
          <w:p>
            <w:pPr>
              <w:jc w:val="center"/>
              <w:rPr>
                <w:rFonts w:hint="eastAsia" w:ascii="宋体" w:hAnsi="宋体" w:eastAsia="宋体" w:cs="Times New Roman"/>
                <w:b/>
                <w:bCs/>
                <w:kern w:val="0"/>
                <w:szCs w:val="21"/>
              </w:rPr>
            </w:pPr>
            <w:r>
              <w:rPr>
                <w:rFonts w:hint="eastAsia" w:ascii="宋体" w:hAnsi="宋体" w:eastAsia="宋体" w:cs="Times New Roman"/>
                <w:b/>
                <w:bCs/>
                <w:kern w:val="0"/>
                <w:szCs w:val="21"/>
              </w:rPr>
              <w:t>序号</w:t>
            </w:r>
          </w:p>
        </w:tc>
        <w:tc>
          <w:tcPr>
            <w:tcW w:w="515" w:type="pct"/>
            <w:vAlign w:val="center"/>
          </w:tcPr>
          <w:p>
            <w:pPr>
              <w:jc w:val="center"/>
              <w:rPr>
                <w:rFonts w:hint="eastAsia" w:ascii="宋体" w:hAnsi="宋体" w:eastAsia="宋体" w:cs="Times New Roman"/>
                <w:b/>
                <w:bCs/>
                <w:kern w:val="0"/>
                <w:szCs w:val="21"/>
              </w:rPr>
            </w:pPr>
            <w:r>
              <w:rPr>
                <w:rFonts w:hint="eastAsia" w:ascii="宋体" w:hAnsi="宋体" w:eastAsia="宋体" w:cs="Times New Roman"/>
                <w:b/>
                <w:bCs/>
                <w:kern w:val="0"/>
                <w:szCs w:val="21"/>
              </w:rPr>
              <w:t>计划编号</w:t>
            </w:r>
          </w:p>
        </w:tc>
        <w:tc>
          <w:tcPr>
            <w:tcW w:w="1078" w:type="pct"/>
            <w:vAlign w:val="center"/>
          </w:tcPr>
          <w:p>
            <w:pPr>
              <w:jc w:val="center"/>
              <w:rPr>
                <w:rFonts w:hint="eastAsia" w:ascii="宋体" w:hAnsi="宋体" w:eastAsia="宋体" w:cs="Times New Roman"/>
                <w:b/>
                <w:bCs/>
                <w:kern w:val="0"/>
                <w:szCs w:val="21"/>
              </w:rPr>
            </w:pPr>
            <w:r>
              <w:rPr>
                <w:rFonts w:hint="eastAsia" w:ascii="宋体" w:hAnsi="宋体" w:eastAsia="宋体" w:cs="Times New Roman"/>
                <w:b/>
                <w:bCs/>
                <w:kern w:val="0"/>
                <w:szCs w:val="21"/>
              </w:rPr>
              <w:t>标准名称</w:t>
            </w:r>
          </w:p>
        </w:tc>
        <w:tc>
          <w:tcPr>
            <w:tcW w:w="563" w:type="pct"/>
            <w:vAlign w:val="center"/>
          </w:tcPr>
          <w:p>
            <w:pPr>
              <w:jc w:val="center"/>
              <w:rPr>
                <w:rFonts w:hint="eastAsia" w:ascii="宋体" w:hAnsi="宋体" w:eastAsia="宋体" w:cs="Times New Roman"/>
                <w:b/>
                <w:bCs/>
                <w:kern w:val="0"/>
                <w:szCs w:val="21"/>
              </w:rPr>
            </w:pPr>
            <w:r>
              <w:rPr>
                <w:rFonts w:hint="eastAsia" w:ascii="宋体" w:hAnsi="宋体" w:eastAsia="宋体" w:cs="Times New Roman"/>
                <w:b/>
                <w:bCs/>
                <w:kern w:val="0"/>
                <w:szCs w:val="21"/>
              </w:rPr>
              <w:t>标准编号</w:t>
            </w:r>
          </w:p>
        </w:tc>
        <w:tc>
          <w:tcPr>
            <w:tcW w:w="281" w:type="pct"/>
            <w:vAlign w:val="center"/>
          </w:tcPr>
          <w:p>
            <w:pPr>
              <w:jc w:val="center"/>
              <w:rPr>
                <w:rFonts w:hint="eastAsia" w:ascii="宋体" w:hAnsi="宋体" w:eastAsia="宋体" w:cs="Times New Roman"/>
                <w:b/>
                <w:bCs/>
                <w:kern w:val="0"/>
                <w:szCs w:val="21"/>
              </w:rPr>
            </w:pPr>
            <w:r>
              <w:rPr>
                <w:rFonts w:hint="eastAsia" w:ascii="宋体" w:hAnsi="宋体" w:eastAsia="宋体" w:cs="Times New Roman"/>
                <w:b/>
                <w:bCs/>
                <w:kern w:val="0"/>
                <w:szCs w:val="21"/>
              </w:rPr>
              <w:t>语种</w:t>
            </w:r>
          </w:p>
        </w:tc>
        <w:tc>
          <w:tcPr>
            <w:tcW w:w="515" w:type="pct"/>
            <w:vAlign w:val="center"/>
          </w:tcPr>
          <w:p>
            <w:pPr>
              <w:jc w:val="center"/>
              <w:rPr>
                <w:rFonts w:hint="eastAsia" w:ascii="宋体" w:hAnsi="宋体" w:eastAsia="宋体" w:cs="Times New Roman"/>
                <w:b/>
                <w:bCs/>
                <w:kern w:val="0"/>
                <w:szCs w:val="21"/>
              </w:rPr>
            </w:pPr>
            <w:r>
              <w:rPr>
                <w:rFonts w:hint="eastAsia" w:ascii="宋体" w:hAnsi="宋体" w:eastAsia="宋体" w:cs="Times New Roman"/>
                <w:b/>
                <w:bCs/>
                <w:kern w:val="0"/>
                <w:szCs w:val="21"/>
              </w:rPr>
              <w:t>完成周期(月)</w:t>
            </w:r>
          </w:p>
        </w:tc>
        <w:tc>
          <w:tcPr>
            <w:tcW w:w="899" w:type="pct"/>
            <w:vAlign w:val="center"/>
          </w:tcPr>
          <w:p>
            <w:pPr>
              <w:jc w:val="center"/>
              <w:rPr>
                <w:rFonts w:hint="eastAsia" w:ascii="宋体" w:hAnsi="宋体" w:eastAsia="宋体" w:cs="Times New Roman"/>
                <w:b/>
                <w:bCs/>
                <w:kern w:val="0"/>
                <w:szCs w:val="21"/>
              </w:rPr>
            </w:pPr>
            <w:r>
              <w:rPr>
                <w:rFonts w:hint="eastAsia" w:ascii="宋体" w:hAnsi="宋体" w:eastAsia="宋体" w:cs="Times New Roman"/>
                <w:b/>
                <w:bCs/>
                <w:kern w:val="0"/>
                <w:szCs w:val="21"/>
              </w:rPr>
              <w:t>技术归口单位</w:t>
            </w:r>
          </w:p>
        </w:tc>
        <w:tc>
          <w:tcPr>
            <w:tcW w:w="916" w:type="pct"/>
            <w:vAlign w:val="center"/>
          </w:tcPr>
          <w:p>
            <w:pPr>
              <w:jc w:val="center"/>
              <w:rPr>
                <w:rFonts w:hint="eastAsia" w:ascii="宋体" w:hAnsi="宋体" w:eastAsia="宋体" w:cs="Times New Roman"/>
                <w:b/>
                <w:bCs/>
                <w:kern w:val="0"/>
                <w:szCs w:val="21"/>
              </w:rPr>
            </w:pPr>
            <w:r>
              <w:rPr>
                <w:rFonts w:hint="eastAsia" w:ascii="宋体" w:hAnsi="宋体" w:eastAsia="宋体" w:cs="Times New Roman"/>
                <w:b/>
                <w:bCs/>
                <w:kern w:val="0"/>
                <w:szCs w:val="21"/>
              </w:rPr>
              <w:t>翻译主要承担单位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85" w:type="dxa"/>
            <w:bottom w:w="0" w:type="dxa"/>
            <w:right w:w="85" w:type="dxa"/>
          </w:tblCellMar>
        </w:tblPrEx>
        <w:trPr>
          <w:cantSplit/>
          <w:trHeight w:val="567" w:hRule="atLeast"/>
        </w:trPr>
        <w:tc>
          <w:tcPr>
            <w:tcW w:w="233" w:type="pct"/>
            <w:vAlign w:val="center"/>
          </w:tcPr>
          <w:p>
            <w:pPr>
              <w:pStyle w:val="28"/>
              <w:numPr>
                <w:ilvl w:val="0"/>
                <w:numId w:val="1"/>
              </w:numPr>
              <w:ind w:firstLineChars="0"/>
              <w:jc w:val="center"/>
              <w:rPr>
                <w:rFonts w:hint="eastAsia" w:ascii="宋体" w:hAnsi="宋体" w:eastAsia="宋体" w:cs="Times New Roman"/>
                <w:bCs/>
                <w:kern w:val="0"/>
                <w:szCs w:val="21"/>
              </w:rPr>
            </w:pPr>
          </w:p>
        </w:tc>
        <w:tc>
          <w:tcPr>
            <w:tcW w:w="515" w:type="pct"/>
            <w:vAlign w:val="center"/>
          </w:tcPr>
          <w:p>
            <w:pPr>
              <w:jc w:val="center"/>
              <w:rPr>
                <w:rFonts w:hint="eastAsia" w:ascii="宋体" w:hAnsi="宋体" w:eastAsia="宋体" w:cs="Times New Roman"/>
                <w:kern w:val="0"/>
                <w:szCs w:val="21"/>
              </w:rPr>
            </w:pPr>
            <w:r>
              <w:rPr>
                <w:rFonts w:hint="eastAsia" w:ascii="宋体" w:hAnsi="宋体" w:eastAsia="宋体" w:cs="Times New Roman"/>
                <w:kern w:val="0"/>
                <w:szCs w:val="21"/>
              </w:rPr>
              <w:t>J</w:t>
            </w:r>
            <w:r>
              <w:rPr>
                <w:rFonts w:ascii="宋体" w:hAnsi="宋体" w:eastAsia="宋体" w:cs="Times New Roman"/>
                <w:kern w:val="0"/>
                <w:szCs w:val="21"/>
              </w:rPr>
              <w:t>TW 202</w:t>
            </w:r>
            <w:r>
              <w:rPr>
                <w:rFonts w:hint="eastAsia" w:ascii="宋体" w:hAnsi="宋体" w:eastAsia="宋体" w:cs="Times New Roman"/>
                <w:kern w:val="0"/>
                <w:szCs w:val="21"/>
              </w:rPr>
              <w:t>4</w:t>
            </w:r>
            <w:r>
              <w:rPr>
                <w:rFonts w:ascii="宋体" w:hAnsi="宋体" w:eastAsia="宋体" w:cs="Times New Roman"/>
                <w:kern w:val="0"/>
                <w:szCs w:val="21"/>
              </w:rPr>
              <w:t>-01</w:t>
            </w:r>
          </w:p>
        </w:tc>
        <w:tc>
          <w:tcPr>
            <w:tcW w:w="1078" w:type="pct"/>
            <w:vAlign w:val="center"/>
          </w:tcPr>
          <w:p>
            <w:pPr>
              <w:rPr>
                <w:rFonts w:hint="eastAsia" w:ascii="宋体" w:hAnsi="宋体" w:eastAsia="宋体" w:cs="Times New Roman"/>
                <w:kern w:val="0"/>
                <w:szCs w:val="21"/>
              </w:rPr>
            </w:pPr>
            <w:r>
              <w:rPr>
                <w:rFonts w:ascii="宋体" w:hAnsi="宋体" w:eastAsia="宋体" w:cs="Times New Roman"/>
                <w:kern w:val="0"/>
                <w:szCs w:val="21"/>
              </w:rPr>
              <w:t>散粮港口作业减损技术要求</w:t>
            </w:r>
          </w:p>
        </w:tc>
        <w:tc>
          <w:tcPr>
            <w:tcW w:w="563" w:type="pct"/>
            <w:vAlign w:val="center"/>
          </w:tcPr>
          <w:p>
            <w:pPr>
              <w:widowControl/>
              <w:jc w:val="center"/>
              <w:rPr>
                <w:rFonts w:hint="eastAsia" w:ascii="宋体" w:hAnsi="宋体" w:eastAsia="宋体" w:cs="Times New Roman"/>
                <w:kern w:val="0"/>
                <w:szCs w:val="21"/>
              </w:rPr>
            </w:pPr>
            <w:r>
              <w:rPr>
                <w:rFonts w:ascii="宋体" w:hAnsi="宋体" w:eastAsia="宋体" w:cs="Times New Roman"/>
                <w:kern w:val="0"/>
                <w:szCs w:val="21"/>
              </w:rPr>
              <w:t>JT/T 1491</w:t>
            </w:r>
            <w:r>
              <w:rPr>
                <w:rFonts w:hint="eastAsia" w:ascii="宋体" w:hAnsi="宋体" w:eastAsia="宋体" w:cs="Times New Roman"/>
                <w:kern w:val="0"/>
                <w:szCs w:val="21"/>
              </w:rPr>
              <w:t>—</w:t>
            </w:r>
            <w:r>
              <w:rPr>
                <w:rFonts w:ascii="宋体" w:hAnsi="宋体" w:eastAsia="宋体" w:cs="Times New Roman"/>
                <w:kern w:val="0"/>
                <w:szCs w:val="21"/>
              </w:rPr>
              <w:t>2024</w:t>
            </w:r>
          </w:p>
        </w:tc>
        <w:tc>
          <w:tcPr>
            <w:tcW w:w="281" w:type="pct"/>
            <w:vAlign w:val="center"/>
          </w:tcPr>
          <w:p>
            <w:pPr>
              <w:jc w:val="center"/>
              <w:rPr>
                <w:rFonts w:hint="eastAsia" w:ascii="宋体" w:hAnsi="宋体" w:eastAsia="宋体" w:cs="Times New Roman"/>
                <w:bCs/>
                <w:kern w:val="0"/>
                <w:szCs w:val="21"/>
              </w:rPr>
            </w:pPr>
            <w:r>
              <w:rPr>
                <w:rFonts w:hint="eastAsia" w:ascii="宋体" w:hAnsi="宋体" w:eastAsia="宋体" w:cs="Times New Roman"/>
                <w:kern w:val="0"/>
                <w:szCs w:val="21"/>
              </w:rPr>
              <w:t>英文</w:t>
            </w:r>
          </w:p>
        </w:tc>
        <w:tc>
          <w:tcPr>
            <w:tcW w:w="515" w:type="pct"/>
            <w:vAlign w:val="center"/>
          </w:tcPr>
          <w:p>
            <w:pPr>
              <w:jc w:val="center"/>
              <w:rPr>
                <w:rFonts w:hint="eastAsia" w:ascii="宋体" w:hAnsi="宋体" w:eastAsia="宋体" w:cs="Times New Roman"/>
                <w:bCs/>
                <w:kern w:val="0"/>
                <w:szCs w:val="21"/>
              </w:rPr>
            </w:pPr>
            <w:r>
              <w:rPr>
                <w:rFonts w:hint="eastAsia" w:ascii="宋体" w:hAnsi="宋体" w:eastAsia="宋体" w:cs="Times New Roman"/>
                <w:kern w:val="0"/>
                <w:szCs w:val="21"/>
              </w:rPr>
              <w:t>12</w:t>
            </w:r>
          </w:p>
        </w:tc>
        <w:tc>
          <w:tcPr>
            <w:tcW w:w="899" w:type="pct"/>
            <w:vAlign w:val="center"/>
          </w:tcPr>
          <w:p>
            <w:pPr>
              <w:jc w:val="center"/>
              <w:rPr>
                <w:rFonts w:hint="eastAsia" w:ascii="宋体" w:hAnsi="宋体" w:eastAsia="宋体" w:cs="Times New Roman"/>
                <w:bCs/>
                <w:kern w:val="0"/>
                <w:szCs w:val="21"/>
              </w:rPr>
            </w:pPr>
            <w:r>
              <w:rPr>
                <w:rFonts w:hint="eastAsia" w:ascii="宋体" w:hAnsi="宋体" w:eastAsia="宋体" w:cs="Times New Roman"/>
                <w:kern w:val="0"/>
                <w:szCs w:val="21"/>
              </w:rPr>
              <w:t>港口标委会</w:t>
            </w:r>
          </w:p>
        </w:tc>
        <w:tc>
          <w:tcPr>
            <w:tcW w:w="916" w:type="pct"/>
            <w:vAlign w:val="center"/>
          </w:tcPr>
          <w:p>
            <w:pPr>
              <w:rPr>
                <w:rFonts w:hint="eastAsia" w:ascii="宋体" w:hAnsi="宋体" w:eastAsia="宋体" w:cs="Times New Roman"/>
                <w:bCs/>
                <w:kern w:val="0"/>
                <w:szCs w:val="21"/>
              </w:rPr>
            </w:pPr>
            <w:r>
              <w:rPr>
                <w:rFonts w:hint="eastAsia" w:ascii="宋体" w:hAnsi="宋体" w:eastAsia="宋体" w:cs="宋体"/>
                <w:kern w:val="0"/>
                <w:szCs w:val="21"/>
              </w:rPr>
              <w:t>交通运输部水运科学研究所</w:t>
            </w:r>
          </w:p>
        </w:tc>
      </w:tr>
    </w:tbl>
    <w:p>
      <w:pPr>
        <w:rPr>
          <w:rFonts w:hint="eastAsia" w:ascii="黑体" w:hAnsi="黑体" w:eastAsia="黑体" w:cs="Times New Roman"/>
          <w:b/>
          <w:bCs/>
          <w:sz w:val="32"/>
          <w:szCs w:val="32"/>
        </w:rPr>
      </w:pPr>
    </w:p>
    <w:p>
      <w:pPr>
        <w:spacing w:line="360" w:lineRule="auto"/>
        <w:rPr>
          <w:rFonts w:hint="eastAsia" w:ascii="黑体" w:hAnsi="黑体" w:eastAsia="黑体" w:cs="Times New Roman"/>
          <w:b/>
          <w:bCs/>
          <w:sz w:val="32"/>
          <w:szCs w:val="32"/>
        </w:rPr>
      </w:pPr>
      <w:r>
        <w:rPr>
          <w:rFonts w:hint="eastAsia" w:ascii="黑体" w:hAnsi="黑体" w:eastAsia="黑体" w:cs="Times New Roman"/>
          <w:b/>
          <w:bCs/>
          <w:sz w:val="32"/>
          <w:szCs w:val="32"/>
        </w:rPr>
        <w:t>三、部门计量检定规程</w:t>
      </w:r>
    </w:p>
    <w:tbl>
      <w:tblPr>
        <w:tblStyle w:val="11"/>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85" w:type="dxa"/>
          <w:bottom w:w="0" w:type="dxa"/>
          <w:right w:w="85" w:type="dxa"/>
        </w:tblCellMar>
      </w:tblPr>
      <w:tblGrid>
        <w:gridCol w:w="621"/>
        <w:gridCol w:w="1381"/>
        <w:gridCol w:w="1494"/>
        <w:gridCol w:w="4243"/>
        <w:gridCol w:w="719"/>
        <w:gridCol w:w="1148"/>
        <w:gridCol w:w="1148"/>
        <w:gridCol w:w="1720"/>
        <w:gridCol w:w="283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85" w:type="dxa"/>
            <w:bottom w:w="0" w:type="dxa"/>
            <w:right w:w="85" w:type="dxa"/>
          </w:tblCellMar>
        </w:tblPrEx>
        <w:trPr>
          <w:cantSplit/>
          <w:trHeight w:val="567" w:hRule="atLeast"/>
          <w:tblHeader/>
        </w:trPr>
        <w:tc>
          <w:tcPr>
            <w:tcW w:w="203" w:type="pct"/>
            <w:vAlign w:val="center"/>
          </w:tcPr>
          <w:p>
            <w:pPr>
              <w:jc w:val="center"/>
              <w:rPr>
                <w:rFonts w:hint="eastAsia" w:ascii="宋体" w:hAnsi="宋体" w:eastAsia="宋体" w:cs="Times New Roman"/>
                <w:b/>
                <w:bCs/>
                <w:kern w:val="0"/>
                <w:szCs w:val="21"/>
              </w:rPr>
            </w:pPr>
            <w:r>
              <w:rPr>
                <w:rFonts w:hint="eastAsia" w:ascii="宋体" w:hAnsi="宋体" w:eastAsia="宋体" w:cs="Times New Roman"/>
                <w:b/>
                <w:bCs/>
                <w:kern w:val="0"/>
                <w:szCs w:val="21"/>
              </w:rPr>
              <w:t>序号</w:t>
            </w:r>
          </w:p>
        </w:tc>
        <w:tc>
          <w:tcPr>
            <w:tcW w:w="451" w:type="pct"/>
            <w:vAlign w:val="center"/>
          </w:tcPr>
          <w:p>
            <w:pPr>
              <w:jc w:val="center"/>
              <w:rPr>
                <w:rFonts w:hint="eastAsia" w:ascii="宋体" w:hAnsi="宋体" w:eastAsia="宋体" w:cs="Times New Roman"/>
                <w:b/>
                <w:bCs/>
                <w:kern w:val="0"/>
                <w:szCs w:val="21"/>
              </w:rPr>
            </w:pPr>
            <w:r>
              <w:rPr>
                <w:rFonts w:hint="eastAsia" w:ascii="宋体" w:hAnsi="宋体" w:eastAsia="宋体" w:cs="Times New Roman"/>
                <w:b/>
                <w:bCs/>
                <w:kern w:val="0"/>
                <w:szCs w:val="21"/>
              </w:rPr>
              <w:t>计划编号</w:t>
            </w:r>
          </w:p>
        </w:tc>
        <w:tc>
          <w:tcPr>
            <w:tcW w:w="488" w:type="pct"/>
            <w:vAlign w:val="center"/>
          </w:tcPr>
          <w:p>
            <w:pPr>
              <w:jc w:val="center"/>
              <w:rPr>
                <w:rFonts w:hint="eastAsia" w:ascii="宋体" w:hAnsi="宋体" w:eastAsia="宋体" w:cs="Times New Roman"/>
                <w:b/>
                <w:bCs/>
                <w:kern w:val="0"/>
                <w:szCs w:val="21"/>
              </w:rPr>
            </w:pPr>
            <w:r>
              <w:rPr>
                <w:rFonts w:hint="eastAsia" w:ascii="宋体" w:hAnsi="宋体" w:eastAsia="宋体" w:cs="Times New Roman"/>
                <w:b/>
                <w:bCs/>
                <w:kern w:val="0"/>
                <w:szCs w:val="21"/>
              </w:rPr>
              <w:t>项目名称</w:t>
            </w:r>
          </w:p>
        </w:tc>
        <w:tc>
          <w:tcPr>
            <w:tcW w:w="1386" w:type="pct"/>
            <w:vAlign w:val="center"/>
          </w:tcPr>
          <w:p>
            <w:pPr>
              <w:jc w:val="center"/>
              <w:rPr>
                <w:rFonts w:hint="eastAsia" w:ascii="宋体" w:hAnsi="宋体" w:eastAsia="宋体" w:cs="Times New Roman"/>
                <w:b/>
                <w:bCs/>
                <w:kern w:val="0"/>
                <w:szCs w:val="21"/>
              </w:rPr>
            </w:pPr>
            <w:r>
              <w:rPr>
                <w:rFonts w:hint="eastAsia" w:ascii="宋体" w:hAnsi="宋体" w:eastAsia="宋体" w:cs="Times New Roman"/>
                <w:b/>
                <w:bCs/>
                <w:kern w:val="0"/>
                <w:szCs w:val="21"/>
              </w:rPr>
              <w:t>范围和主要技术内容</w:t>
            </w:r>
          </w:p>
        </w:tc>
        <w:tc>
          <w:tcPr>
            <w:tcW w:w="235" w:type="pct"/>
            <w:vAlign w:val="center"/>
          </w:tcPr>
          <w:p>
            <w:pPr>
              <w:jc w:val="center"/>
              <w:rPr>
                <w:rFonts w:hint="eastAsia" w:ascii="宋体" w:hAnsi="宋体" w:eastAsia="宋体" w:cs="Times New Roman"/>
                <w:b/>
                <w:bCs/>
                <w:kern w:val="0"/>
                <w:szCs w:val="21"/>
              </w:rPr>
            </w:pPr>
            <w:r>
              <w:rPr>
                <w:rFonts w:hint="eastAsia" w:ascii="宋体" w:hAnsi="宋体" w:eastAsia="宋体" w:cs="Times New Roman"/>
                <w:b/>
                <w:bCs/>
                <w:kern w:val="0"/>
                <w:szCs w:val="21"/>
              </w:rPr>
              <w:t>制修订</w:t>
            </w:r>
          </w:p>
        </w:tc>
        <w:tc>
          <w:tcPr>
            <w:tcW w:w="375" w:type="pct"/>
            <w:vAlign w:val="center"/>
          </w:tcPr>
          <w:p>
            <w:pPr>
              <w:jc w:val="center"/>
              <w:rPr>
                <w:rFonts w:hint="eastAsia" w:ascii="宋体" w:hAnsi="宋体" w:eastAsia="宋体" w:cs="Times New Roman"/>
                <w:b/>
                <w:bCs/>
                <w:kern w:val="0"/>
                <w:szCs w:val="21"/>
              </w:rPr>
            </w:pPr>
            <w:r>
              <w:rPr>
                <w:rFonts w:hint="eastAsia" w:ascii="宋体" w:hAnsi="宋体" w:eastAsia="宋体" w:cs="Times New Roman"/>
                <w:b/>
                <w:bCs/>
                <w:kern w:val="0"/>
                <w:szCs w:val="21"/>
              </w:rPr>
              <w:t>代替规程</w:t>
            </w:r>
          </w:p>
        </w:tc>
        <w:tc>
          <w:tcPr>
            <w:tcW w:w="375" w:type="pct"/>
            <w:vAlign w:val="center"/>
          </w:tcPr>
          <w:p>
            <w:pPr>
              <w:jc w:val="center"/>
              <w:rPr>
                <w:rFonts w:hint="eastAsia" w:ascii="宋体" w:hAnsi="宋体" w:eastAsia="宋体" w:cs="Times New Roman"/>
                <w:b/>
                <w:bCs/>
                <w:kern w:val="0"/>
                <w:szCs w:val="21"/>
              </w:rPr>
            </w:pPr>
            <w:r>
              <w:rPr>
                <w:rFonts w:hint="eastAsia" w:ascii="宋体" w:hAnsi="宋体" w:eastAsia="宋体" w:cs="Times New Roman"/>
                <w:b/>
                <w:bCs/>
                <w:kern w:val="0"/>
                <w:szCs w:val="21"/>
              </w:rPr>
              <w:t>完成周期(月)</w:t>
            </w:r>
          </w:p>
        </w:tc>
        <w:tc>
          <w:tcPr>
            <w:tcW w:w="562" w:type="pct"/>
            <w:vAlign w:val="center"/>
          </w:tcPr>
          <w:p>
            <w:pPr>
              <w:jc w:val="center"/>
              <w:rPr>
                <w:rFonts w:hint="eastAsia" w:ascii="宋体" w:hAnsi="宋体" w:eastAsia="宋体" w:cs="Times New Roman"/>
                <w:b/>
                <w:bCs/>
                <w:kern w:val="0"/>
                <w:szCs w:val="21"/>
              </w:rPr>
            </w:pPr>
            <w:r>
              <w:rPr>
                <w:rFonts w:hint="eastAsia" w:ascii="宋体" w:hAnsi="宋体" w:eastAsia="宋体" w:cs="Times New Roman"/>
                <w:b/>
                <w:bCs/>
                <w:kern w:val="0"/>
                <w:szCs w:val="21"/>
              </w:rPr>
              <w:t>技术归口单位</w:t>
            </w:r>
          </w:p>
        </w:tc>
        <w:tc>
          <w:tcPr>
            <w:tcW w:w="925" w:type="pct"/>
            <w:vAlign w:val="center"/>
          </w:tcPr>
          <w:p>
            <w:pPr>
              <w:jc w:val="center"/>
              <w:rPr>
                <w:rFonts w:hint="eastAsia" w:ascii="宋体" w:hAnsi="宋体" w:eastAsia="宋体" w:cs="Times New Roman"/>
                <w:b/>
                <w:bCs/>
                <w:kern w:val="0"/>
                <w:szCs w:val="21"/>
              </w:rPr>
            </w:pPr>
            <w:r>
              <w:rPr>
                <w:rFonts w:hint="eastAsia" w:ascii="宋体" w:hAnsi="宋体" w:eastAsia="宋体" w:cs="Times New Roman"/>
                <w:b/>
                <w:bCs/>
                <w:kern w:val="0"/>
                <w:szCs w:val="21"/>
              </w:rPr>
              <w:t>主要起草单位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85" w:type="dxa"/>
            <w:bottom w:w="0" w:type="dxa"/>
            <w:right w:w="85" w:type="dxa"/>
          </w:tblCellMar>
        </w:tblPrEx>
        <w:trPr>
          <w:cantSplit/>
          <w:trHeight w:val="567" w:hRule="atLeast"/>
        </w:trPr>
        <w:tc>
          <w:tcPr>
            <w:tcW w:w="203" w:type="pct"/>
            <w:vAlign w:val="center"/>
          </w:tcPr>
          <w:p>
            <w:pPr>
              <w:jc w:val="center"/>
              <w:rPr>
                <w:rFonts w:hint="eastAsia" w:ascii="宋体" w:hAnsi="宋体" w:eastAsia="宋体" w:cs="Times New Roman"/>
                <w:bCs/>
                <w:kern w:val="0"/>
                <w:szCs w:val="21"/>
              </w:rPr>
            </w:pPr>
            <w:r>
              <w:rPr>
                <w:rFonts w:ascii="宋体" w:hAnsi="宋体" w:eastAsia="宋体" w:cs="Times New Roman"/>
                <w:bCs/>
                <w:kern w:val="0"/>
                <w:szCs w:val="21"/>
              </w:rPr>
              <w:t>1</w:t>
            </w:r>
          </w:p>
        </w:tc>
        <w:tc>
          <w:tcPr>
            <w:tcW w:w="451" w:type="pct"/>
            <w:vAlign w:val="center"/>
          </w:tcPr>
          <w:p>
            <w:pPr>
              <w:jc w:val="center"/>
              <w:rPr>
                <w:rFonts w:hint="eastAsia" w:ascii="宋体" w:hAnsi="宋体" w:eastAsia="宋体" w:cs="Times New Roman"/>
                <w:kern w:val="0"/>
                <w:szCs w:val="21"/>
              </w:rPr>
            </w:pPr>
            <w:r>
              <w:rPr>
                <w:rFonts w:hint="eastAsia" w:ascii="宋体" w:hAnsi="宋体" w:eastAsia="宋体"/>
                <w:kern w:val="0"/>
                <w:szCs w:val="21"/>
              </w:rPr>
              <w:t>JJG 2024-01</w:t>
            </w:r>
          </w:p>
        </w:tc>
        <w:tc>
          <w:tcPr>
            <w:tcW w:w="488" w:type="pct"/>
            <w:vAlign w:val="center"/>
          </w:tcPr>
          <w:p>
            <w:pPr>
              <w:jc w:val="left"/>
              <w:rPr>
                <w:rFonts w:hint="eastAsia" w:ascii="宋体" w:hAnsi="宋体" w:eastAsia="宋体"/>
                <w:kern w:val="0"/>
                <w:szCs w:val="21"/>
              </w:rPr>
            </w:pPr>
            <w:r>
              <w:rPr>
                <w:rFonts w:ascii="宋体" w:hAnsi="宋体" w:eastAsia="宋体"/>
                <w:kern w:val="0"/>
                <w:szCs w:val="21"/>
              </w:rPr>
              <w:t>沥青弯曲梁流变仪</w:t>
            </w:r>
          </w:p>
        </w:tc>
        <w:tc>
          <w:tcPr>
            <w:tcW w:w="1386" w:type="pct"/>
            <w:vAlign w:val="center"/>
          </w:tcPr>
          <w:p>
            <w:pPr>
              <w:rPr>
                <w:rFonts w:hint="eastAsia" w:ascii="宋体" w:hAnsi="宋体" w:eastAsia="宋体" w:cs="Times New Roman"/>
                <w:kern w:val="0"/>
                <w:szCs w:val="21"/>
              </w:rPr>
            </w:pPr>
            <w:r>
              <w:rPr>
                <w:rFonts w:ascii="宋体" w:hAnsi="宋体" w:eastAsia="宋体" w:cs="Times New Roman"/>
                <w:kern w:val="0"/>
                <w:szCs w:val="21"/>
              </w:rPr>
              <w:t>拟规定沥青弯曲梁流变仪的概述、计量性能要求、通用技术要求、计量器具控制等。</w:t>
            </w:r>
          </w:p>
          <w:p>
            <w:pPr>
              <w:rPr>
                <w:rFonts w:hint="eastAsia" w:ascii="宋体" w:hAnsi="宋体" w:eastAsia="宋体" w:cs="Times New Roman"/>
                <w:kern w:val="0"/>
                <w:szCs w:val="21"/>
              </w:rPr>
            </w:pPr>
            <w:r>
              <w:rPr>
                <w:rFonts w:ascii="宋体" w:hAnsi="宋体" w:eastAsia="宋体" w:cs="Times New Roman"/>
                <w:kern w:val="0"/>
                <w:szCs w:val="21"/>
              </w:rPr>
              <w:t>适用于沥青弯曲梁流变仪的首次检定、后续检定和使用中检验。</w:t>
            </w:r>
          </w:p>
        </w:tc>
        <w:tc>
          <w:tcPr>
            <w:tcW w:w="235" w:type="pct"/>
            <w:vAlign w:val="center"/>
          </w:tcPr>
          <w:p>
            <w:pPr>
              <w:widowControl/>
              <w:jc w:val="center"/>
              <w:rPr>
                <w:rFonts w:hint="eastAsia" w:ascii="宋体" w:hAnsi="宋体" w:eastAsia="宋体" w:cs="Times New Roman"/>
                <w:kern w:val="0"/>
                <w:szCs w:val="21"/>
              </w:rPr>
            </w:pPr>
            <w:r>
              <w:rPr>
                <w:rFonts w:hint="eastAsia" w:ascii="宋体" w:hAnsi="宋体" w:eastAsia="宋体" w:cs="Times New Roman"/>
                <w:kern w:val="0"/>
                <w:szCs w:val="21"/>
              </w:rPr>
              <w:t>制定</w:t>
            </w:r>
          </w:p>
        </w:tc>
        <w:tc>
          <w:tcPr>
            <w:tcW w:w="375" w:type="pct"/>
            <w:vAlign w:val="center"/>
          </w:tcPr>
          <w:p>
            <w:pPr>
              <w:widowControl/>
              <w:jc w:val="center"/>
              <w:rPr>
                <w:rFonts w:hint="eastAsia" w:ascii="宋体" w:hAnsi="宋体" w:eastAsia="宋体" w:cs="Times New Roman"/>
                <w:kern w:val="0"/>
                <w:szCs w:val="21"/>
              </w:rPr>
            </w:pPr>
          </w:p>
        </w:tc>
        <w:tc>
          <w:tcPr>
            <w:tcW w:w="375" w:type="pct"/>
            <w:vAlign w:val="center"/>
          </w:tcPr>
          <w:p>
            <w:pPr>
              <w:jc w:val="center"/>
              <w:rPr>
                <w:rFonts w:hint="eastAsia" w:ascii="宋体" w:hAnsi="宋体" w:eastAsia="宋体" w:cs="Times New Roman"/>
                <w:kern w:val="0"/>
                <w:szCs w:val="21"/>
              </w:rPr>
            </w:pPr>
            <w:r>
              <w:rPr>
                <w:rFonts w:hint="eastAsia" w:ascii="宋体" w:hAnsi="宋体" w:eastAsia="宋体" w:cs="Times New Roman"/>
                <w:kern w:val="0"/>
                <w:szCs w:val="21"/>
              </w:rPr>
              <w:t>12</w:t>
            </w:r>
          </w:p>
        </w:tc>
        <w:tc>
          <w:tcPr>
            <w:tcW w:w="562" w:type="pct"/>
            <w:vAlign w:val="center"/>
          </w:tcPr>
          <w:p>
            <w:pPr>
              <w:jc w:val="center"/>
              <w:rPr>
                <w:rFonts w:hint="eastAsia" w:ascii="宋体" w:hAnsi="宋体" w:eastAsia="宋体" w:cs="Times New Roman"/>
                <w:kern w:val="0"/>
                <w:szCs w:val="21"/>
              </w:rPr>
            </w:pPr>
            <w:r>
              <w:rPr>
                <w:rFonts w:hint="eastAsia" w:ascii="宋体" w:hAnsi="宋体" w:eastAsia="宋体" w:cs="Times New Roman"/>
                <w:kern w:val="0"/>
                <w:szCs w:val="21"/>
              </w:rPr>
              <w:t>公路计量委员会</w:t>
            </w:r>
          </w:p>
        </w:tc>
        <w:tc>
          <w:tcPr>
            <w:tcW w:w="925" w:type="pct"/>
            <w:vAlign w:val="center"/>
          </w:tcPr>
          <w:p>
            <w:pPr>
              <w:jc w:val="left"/>
              <w:rPr>
                <w:rFonts w:hint="eastAsia" w:ascii="宋体" w:hAnsi="宋体" w:eastAsia="宋体"/>
                <w:kern w:val="0"/>
                <w:szCs w:val="21"/>
              </w:rPr>
            </w:pPr>
            <w:r>
              <w:rPr>
                <w:rFonts w:ascii="宋体" w:hAnsi="宋体" w:eastAsia="宋体"/>
                <w:kern w:val="0"/>
                <w:szCs w:val="21"/>
              </w:rPr>
              <w:t>福建省交通科研院有限公司、交通运输部公路科学研究所、广东华路交通科技有限公司、江西省交通工程质量监督站试验检测中心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85" w:type="dxa"/>
            <w:bottom w:w="0" w:type="dxa"/>
            <w:right w:w="85" w:type="dxa"/>
          </w:tblCellMar>
        </w:tblPrEx>
        <w:trPr>
          <w:cantSplit/>
          <w:trHeight w:val="567" w:hRule="atLeast"/>
        </w:trPr>
        <w:tc>
          <w:tcPr>
            <w:tcW w:w="203" w:type="pct"/>
            <w:vAlign w:val="center"/>
          </w:tcPr>
          <w:p>
            <w:pPr>
              <w:jc w:val="center"/>
              <w:rPr>
                <w:rFonts w:hint="eastAsia" w:ascii="宋体" w:hAnsi="宋体" w:eastAsia="宋体" w:cs="Times New Roman"/>
                <w:bCs/>
                <w:kern w:val="0"/>
                <w:szCs w:val="21"/>
              </w:rPr>
            </w:pPr>
            <w:r>
              <w:rPr>
                <w:rFonts w:hint="eastAsia" w:ascii="宋体" w:hAnsi="宋体" w:eastAsia="宋体" w:cs="Times New Roman"/>
                <w:bCs/>
                <w:kern w:val="0"/>
                <w:szCs w:val="21"/>
              </w:rPr>
              <w:t>2</w:t>
            </w:r>
          </w:p>
        </w:tc>
        <w:tc>
          <w:tcPr>
            <w:tcW w:w="451" w:type="pct"/>
            <w:vAlign w:val="center"/>
          </w:tcPr>
          <w:p>
            <w:pPr>
              <w:jc w:val="center"/>
              <w:rPr>
                <w:rFonts w:hint="eastAsia" w:ascii="宋体" w:hAnsi="宋体" w:eastAsia="宋体" w:cs="Times New Roman"/>
                <w:kern w:val="0"/>
                <w:szCs w:val="21"/>
              </w:rPr>
            </w:pPr>
            <w:r>
              <w:rPr>
                <w:rFonts w:hint="eastAsia" w:ascii="宋体" w:hAnsi="宋体" w:eastAsia="宋体"/>
                <w:kern w:val="0"/>
                <w:szCs w:val="21"/>
              </w:rPr>
              <w:t>JJG 2024-02</w:t>
            </w:r>
          </w:p>
        </w:tc>
        <w:tc>
          <w:tcPr>
            <w:tcW w:w="488" w:type="pct"/>
            <w:vAlign w:val="center"/>
          </w:tcPr>
          <w:p>
            <w:pPr>
              <w:jc w:val="left"/>
              <w:rPr>
                <w:rFonts w:hint="eastAsia" w:ascii="宋体" w:hAnsi="宋体" w:eastAsia="宋体"/>
                <w:kern w:val="0"/>
                <w:szCs w:val="21"/>
              </w:rPr>
            </w:pPr>
            <w:r>
              <w:rPr>
                <w:rFonts w:ascii="宋体" w:hAnsi="宋体" w:eastAsia="宋体"/>
                <w:kern w:val="0"/>
                <w:szCs w:val="21"/>
              </w:rPr>
              <w:t>垂直渗透系数测定仪</w:t>
            </w:r>
          </w:p>
        </w:tc>
        <w:tc>
          <w:tcPr>
            <w:tcW w:w="1386" w:type="pct"/>
            <w:vAlign w:val="center"/>
          </w:tcPr>
          <w:p>
            <w:pPr>
              <w:rPr>
                <w:rFonts w:hint="eastAsia" w:ascii="宋体" w:hAnsi="宋体" w:eastAsia="宋体" w:cs="Times New Roman"/>
                <w:kern w:val="0"/>
                <w:szCs w:val="21"/>
              </w:rPr>
            </w:pPr>
            <w:r>
              <w:rPr>
                <w:rFonts w:ascii="宋体" w:hAnsi="宋体" w:eastAsia="宋体" w:cs="Times New Roman"/>
                <w:kern w:val="0"/>
                <w:szCs w:val="21"/>
              </w:rPr>
              <w:t>拟规定垂直渗透系数测定仪的概述、计量性能要求、通用技术要求、计量器具控制、检定方法、检定结果处理、检定周期等。</w:t>
            </w:r>
          </w:p>
          <w:p>
            <w:pPr>
              <w:rPr>
                <w:rFonts w:hint="eastAsia" w:ascii="宋体" w:hAnsi="宋体" w:eastAsia="宋体" w:cs="Times New Roman"/>
                <w:kern w:val="0"/>
                <w:szCs w:val="21"/>
              </w:rPr>
            </w:pPr>
            <w:r>
              <w:rPr>
                <w:rFonts w:ascii="宋体" w:hAnsi="宋体" w:eastAsia="宋体" w:cs="Times New Roman"/>
                <w:kern w:val="0"/>
                <w:szCs w:val="21"/>
              </w:rPr>
              <w:t>适用于垂直渗透系数测定仪的首次检定、后续检定和使用中检验。</w:t>
            </w:r>
          </w:p>
        </w:tc>
        <w:tc>
          <w:tcPr>
            <w:tcW w:w="235" w:type="pct"/>
            <w:vAlign w:val="center"/>
          </w:tcPr>
          <w:p>
            <w:pPr>
              <w:jc w:val="center"/>
              <w:rPr>
                <w:rFonts w:hint="eastAsia" w:ascii="宋体" w:hAnsi="宋体" w:eastAsia="宋体" w:cs="Times New Roman"/>
                <w:bCs/>
                <w:kern w:val="0"/>
                <w:szCs w:val="21"/>
              </w:rPr>
            </w:pPr>
            <w:r>
              <w:rPr>
                <w:rFonts w:hint="eastAsia" w:ascii="宋体" w:hAnsi="宋体" w:eastAsia="宋体" w:cs="Times New Roman"/>
                <w:kern w:val="0"/>
                <w:szCs w:val="21"/>
              </w:rPr>
              <w:t>制定</w:t>
            </w:r>
          </w:p>
        </w:tc>
        <w:tc>
          <w:tcPr>
            <w:tcW w:w="375" w:type="pct"/>
            <w:vAlign w:val="center"/>
          </w:tcPr>
          <w:p>
            <w:pPr>
              <w:jc w:val="center"/>
              <w:rPr>
                <w:rFonts w:hint="eastAsia" w:ascii="宋体" w:hAnsi="宋体" w:eastAsia="宋体" w:cs="Times New Roman"/>
                <w:bCs/>
                <w:kern w:val="0"/>
                <w:szCs w:val="21"/>
              </w:rPr>
            </w:pPr>
          </w:p>
        </w:tc>
        <w:tc>
          <w:tcPr>
            <w:tcW w:w="375" w:type="pct"/>
            <w:vAlign w:val="center"/>
          </w:tcPr>
          <w:p>
            <w:pPr>
              <w:jc w:val="center"/>
              <w:rPr>
                <w:rFonts w:hint="eastAsia" w:ascii="宋体" w:hAnsi="宋体" w:eastAsia="宋体" w:cs="Times New Roman"/>
                <w:bCs/>
                <w:kern w:val="0"/>
                <w:szCs w:val="21"/>
              </w:rPr>
            </w:pPr>
            <w:r>
              <w:rPr>
                <w:rFonts w:hint="eastAsia" w:ascii="宋体" w:hAnsi="宋体" w:eastAsia="宋体" w:cs="Times New Roman"/>
                <w:kern w:val="0"/>
                <w:szCs w:val="21"/>
              </w:rPr>
              <w:t>12</w:t>
            </w:r>
          </w:p>
        </w:tc>
        <w:tc>
          <w:tcPr>
            <w:tcW w:w="562" w:type="pct"/>
            <w:vAlign w:val="center"/>
          </w:tcPr>
          <w:p>
            <w:pPr>
              <w:jc w:val="center"/>
              <w:rPr>
                <w:rFonts w:hint="eastAsia" w:ascii="宋体" w:hAnsi="宋体" w:eastAsia="宋体" w:cs="Times New Roman"/>
                <w:bCs/>
                <w:kern w:val="0"/>
                <w:szCs w:val="21"/>
              </w:rPr>
            </w:pPr>
            <w:r>
              <w:rPr>
                <w:rFonts w:hint="eastAsia" w:ascii="宋体" w:hAnsi="宋体" w:eastAsia="宋体" w:cs="Times New Roman"/>
                <w:kern w:val="0"/>
                <w:szCs w:val="21"/>
              </w:rPr>
              <w:t>公路计量委员会</w:t>
            </w:r>
          </w:p>
        </w:tc>
        <w:tc>
          <w:tcPr>
            <w:tcW w:w="925" w:type="pct"/>
            <w:vAlign w:val="center"/>
          </w:tcPr>
          <w:p>
            <w:pPr>
              <w:jc w:val="left"/>
              <w:rPr>
                <w:rFonts w:hint="eastAsia" w:ascii="宋体" w:hAnsi="宋体" w:eastAsia="宋体"/>
                <w:kern w:val="0"/>
                <w:szCs w:val="21"/>
              </w:rPr>
            </w:pPr>
            <w:r>
              <w:rPr>
                <w:rFonts w:ascii="宋体" w:hAnsi="宋体" w:eastAsia="宋体"/>
                <w:kern w:val="0"/>
                <w:szCs w:val="21"/>
              </w:rPr>
              <w:t>天津市交通科学研究院</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85" w:type="dxa"/>
            <w:bottom w:w="0" w:type="dxa"/>
            <w:right w:w="85" w:type="dxa"/>
          </w:tblCellMar>
        </w:tblPrEx>
        <w:trPr>
          <w:cantSplit/>
          <w:trHeight w:val="567" w:hRule="atLeast"/>
        </w:trPr>
        <w:tc>
          <w:tcPr>
            <w:tcW w:w="203" w:type="pct"/>
            <w:vAlign w:val="center"/>
          </w:tcPr>
          <w:p>
            <w:pPr>
              <w:jc w:val="center"/>
              <w:rPr>
                <w:rFonts w:hint="eastAsia" w:ascii="宋体" w:hAnsi="宋体" w:eastAsia="宋体" w:cs="Times New Roman"/>
                <w:bCs/>
                <w:kern w:val="0"/>
                <w:szCs w:val="21"/>
              </w:rPr>
            </w:pPr>
            <w:r>
              <w:rPr>
                <w:rFonts w:hint="eastAsia" w:ascii="宋体" w:hAnsi="宋体" w:eastAsia="宋体" w:cs="Times New Roman"/>
                <w:bCs/>
                <w:kern w:val="0"/>
                <w:szCs w:val="21"/>
              </w:rPr>
              <w:t>3</w:t>
            </w:r>
          </w:p>
        </w:tc>
        <w:tc>
          <w:tcPr>
            <w:tcW w:w="451" w:type="pct"/>
            <w:vAlign w:val="center"/>
          </w:tcPr>
          <w:p>
            <w:pPr>
              <w:jc w:val="center"/>
              <w:rPr>
                <w:rFonts w:hint="eastAsia" w:ascii="宋体" w:hAnsi="宋体" w:eastAsia="宋体" w:cs="Times New Roman"/>
                <w:kern w:val="0"/>
                <w:szCs w:val="21"/>
              </w:rPr>
            </w:pPr>
            <w:r>
              <w:rPr>
                <w:rFonts w:hint="eastAsia" w:ascii="宋体" w:hAnsi="宋体" w:eastAsia="宋体"/>
                <w:kern w:val="0"/>
                <w:szCs w:val="21"/>
              </w:rPr>
              <w:t>JJG 2024-03</w:t>
            </w:r>
          </w:p>
        </w:tc>
        <w:tc>
          <w:tcPr>
            <w:tcW w:w="488" w:type="pct"/>
            <w:vAlign w:val="center"/>
          </w:tcPr>
          <w:p>
            <w:pPr>
              <w:jc w:val="left"/>
              <w:rPr>
                <w:rFonts w:hint="eastAsia" w:ascii="宋体" w:hAnsi="宋体" w:eastAsia="宋体"/>
                <w:kern w:val="0"/>
                <w:szCs w:val="21"/>
              </w:rPr>
            </w:pPr>
            <w:r>
              <w:rPr>
                <w:rFonts w:ascii="宋体" w:hAnsi="宋体" w:eastAsia="宋体"/>
                <w:kern w:val="0"/>
                <w:szCs w:val="21"/>
              </w:rPr>
              <w:t>沥青混合料真空密度测试仪</w:t>
            </w:r>
          </w:p>
        </w:tc>
        <w:tc>
          <w:tcPr>
            <w:tcW w:w="1386" w:type="pct"/>
            <w:vAlign w:val="center"/>
          </w:tcPr>
          <w:p>
            <w:pPr>
              <w:rPr>
                <w:rFonts w:hint="eastAsia" w:ascii="宋体" w:hAnsi="宋体" w:eastAsia="宋体" w:cs="Times New Roman"/>
                <w:kern w:val="0"/>
                <w:szCs w:val="21"/>
              </w:rPr>
            </w:pPr>
            <w:r>
              <w:rPr>
                <w:rFonts w:ascii="宋体" w:hAnsi="宋体" w:eastAsia="宋体" w:cs="Times New Roman"/>
                <w:kern w:val="0"/>
                <w:szCs w:val="21"/>
              </w:rPr>
              <w:t>拟规定沥青混合料真空密度测试仪的概述、计量性能要求、通用技术要求、计量器具控制等。</w:t>
            </w:r>
          </w:p>
          <w:p>
            <w:pPr>
              <w:rPr>
                <w:rFonts w:hint="eastAsia" w:ascii="宋体" w:hAnsi="宋体" w:eastAsia="宋体" w:cs="Times New Roman"/>
                <w:kern w:val="0"/>
                <w:szCs w:val="21"/>
              </w:rPr>
            </w:pPr>
            <w:r>
              <w:rPr>
                <w:rFonts w:ascii="宋体" w:hAnsi="宋体" w:eastAsia="宋体" w:cs="Times New Roman"/>
                <w:kern w:val="0"/>
                <w:szCs w:val="21"/>
              </w:rPr>
              <w:t>适用于沥青混合料真空密度测试仪的首次检定、后续检定和使用中检查。</w:t>
            </w:r>
          </w:p>
        </w:tc>
        <w:tc>
          <w:tcPr>
            <w:tcW w:w="235" w:type="pct"/>
            <w:vAlign w:val="center"/>
          </w:tcPr>
          <w:p>
            <w:pPr>
              <w:jc w:val="center"/>
              <w:rPr>
                <w:rFonts w:hint="eastAsia" w:ascii="宋体" w:hAnsi="宋体" w:eastAsia="宋体" w:cs="Times New Roman"/>
                <w:kern w:val="0"/>
                <w:szCs w:val="21"/>
              </w:rPr>
            </w:pPr>
            <w:r>
              <w:rPr>
                <w:rFonts w:hint="eastAsia" w:ascii="宋体" w:hAnsi="宋体" w:eastAsia="宋体" w:cs="Times New Roman"/>
                <w:kern w:val="0"/>
                <w:szCs w:val="21"/>
              </w:rPr>
              <w:t>制定</w:t>
            </w:r>
          </w:p>
        </w:tc>
        <w:tc>
          <w:tcPr>
            <w:tcW w:w="375" w:type="pct"/>
            <w:vAlign w:val="center"/>
          </w:tcPr>
          <w:p>
            <w:pPr>
              <w:jc w:val="center"/>
              <w:rPr>
                <w:rFonts w:hint="eastAsia" w:ascii="宋体" w:hAnsi="宋体" w:eastAsia="宋体" w:cs="Times New Roman"/>
                <w:bCs/>
                <w:kern w:val="0"/>
                <w:szCs w:val="21"/>
              </w:rPr>
            </w:pPr>
          </w:p>
        </w:tc>
        <w:tc>
          <w:tcPr>
            <w:tcW w:w="375" w:type="pct"/>
            <w:vAlign w:val="center"/>
          </w:tcPr>
          <w:p>
            <w:pPr>
              <w:jc w:val="center"/>
              <w:rPr>
                <w:rFonts w:hint="eastAsia" w:ascii="宋体" w:hAnsi="宋体" w:eastAsia="宋体" w:cs="Times New Roman"/>
                <w:kern w:val="0"/>
                <w:szCs w:val="21"/>
              </w:rPr>
            </w:pPr>
            <w:r>
              <w:rPr>
                <w:rFonts w:hint="eastAsia" w:ascii="宋体" w:hAnsi="宋体" w:eastAsia="宋体" w:cs="Times New Roman"/>
                <w:kern w:val="0"/>
                <w:szCs w:val="21"/>
              </w:rPr>
              <w:t>12</w:t>
            </w:r>
          </w:p>
        </w:tc>
        <w:tc>
          <w:tcPr>
            <w:tcW w:w="562" w:type="pct"/>
            <w:vAlign w:val="center"/>
          </w:tcPr>
          <w:p>
            <w:pPr>
              <w:jc w:val="center"/>
              <w:rPr>
                <w:rFonts w:hint="eastAsia" w:ascii="宋体" w:hAnsi="宋体" w:eastAsia="宋体" w:cs="Times New Roman"/>
                <w:kern w:val="0"/>
                <w:szCs w:val="21"/>
              </w:rPr>
            </w:pPr>
            <w:r>
              <w:rPr>
                <w:rFonts w:hint="eastAsia" w:ascii="宋体" w:hAnsi="宋体" w:eastAsia="宋体" w:cs="Times New Roman"/>
                <w:kern w:val="0"/>
                <w:szCs w:val="21"/>
              </w:rPr>
              <w:t>公路计量委员会</w:t>
            </w:r>
          </w:p>
        </w:tc>
        <w:tc>
          <w:tcPr>
            <w:tcW w:w="925" w:type="pct"/>
            <w:vAlign w:val="center"/>
          </w:tcPr>
          <w:p>
            <w:pPr>
              <w:jc w:val="left"/>
              <w:rPr>
                <w:rFonts w:hint="eastAsia" w:ascii="宋体" w:hAnsi="宋体" w:eastAsia="宋体"/>
                <w:kern w:val="0"/>
                <w:szCs w:val="21"/>
              </w:rPr>
            </w:pPr>
            <w:r>
              <w:rPr>
                <w:rFonts w:ascii="宋体" w:hAnsi="宋体" w:eastAsia="宋体"/>
                <w:kern w:val="0"/>
                <w:szCs w:val="21"/>
              </w:rPr>
              <w:t>交通运输部公路科学研究所、中路高科交通检测检验认证有限公司、安徽省高速公路试验检测科研中心有限公司</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85" w:type="dxa"/>
            <w:bottom w:w="0" w:type="dxa"/>
            <w:right w:w="85" w:type="dxa"/>
          </w:tblCellMar>
        </w:tblPrEx>
        <w:trPr>
          <w:cantSplit/>
          <w:trHeight w:val="567" w:hRule="atLeast"/>
        </w:trPr>
        <w:tc>
          <w:tcPr>
            <w:tcW w:w="203" w:type="pct"/>
            <w:vAlign w:val="center"/>
          </w:tcPr>
          <w:p>
            <w:pPr>
              <w:jc w:val="center"/>
              <w:rPr>
                <w:rFonts w:hint="eastAsia" w:ascii="宋体" w:hAnsi="宋体" w:eastAsia="宋体" w:cs="Times New Roman"/>
                <w:bCs/>
                <w:kern w:val="0"/>
                <w:szCs w:val="21"/>
              </w:rPr>
            </w:pPr>
            <w:r>
              <w:rPr>
                <w:rFonts w:hint="eastAsia" w:ascii="宋体" w:hAnsi="宋体" w:eastAsia="宋体" w:cs="Times New Roman"/>
                <w:bCs/>
                <w:kern w:val="0"/>
                <w:szCs w:val="21"/>
              </w:rPr>
              <w:t>4</w:t>
            </w:r>
          </w:p>
        </w:tc>
        <w:tc>
          <w:tcPr>
            <w:tcW w:w="451" w:type="pct"/>
            <w:vAlign w:val="center"/>
          </w:tcPr>
          <w:p>
            <w:pPr>
              <w:jc w:val="center"/>
              <w:rPr>
                <w:rFonts w:hint="eastAsia" w:ascii="宋体" w:hAnsi="宋体" w:eastAsia="宋体" w:cs="Times New Roman"/>
                <w:kern w:val="0"/>
                <w:szCs w:val="21"/>
              </w:rPr>
            </w:pPr>
            <w:r>
              <w:rPr>
                <w:rFonts w:hint="eastAsia" w:ascii="宋体" w:hAnsi="宋体" w:eastAsia="宋体"/>
                <w:kern w:val="0"/>
                <w:szCs w:val="21"/>
              </w:rPr>
              <w:t>JJG 2024-04</w:t>
            </w:r>
          </w:p>
        </w:tc>
        <w:tc>
          <w:tcPr>
            <w:tcW w:w="488" w:type="pct"/>
            <w:vAlign w:val="center"/>
          </w:tcPr>
          <w:p>
            <w:pPr>
              <w:jc w:val="left"/>
              <w:rPr>
                <w:rFonts w:hint="eastAsia" w:ascii="宋体" w:hAnsi="宋体" w:eastAsia="宋体"/>
                <w:kern w:val="0"/>
                <w:szCs w:val="21"/>
              </w:rPr>
            </w:pPr>
            <w:r>
              <w:rPr>
                <w:rFonts w:ascii="宋体" w:hAnsi="宋体" w:eastAsia="宋体"/>
                <w:kern w:val="0"/>
                <w:szCs w:val="21"/>
              </w:rPr>
              <w:t>水泥标准筛</w:t>
            </w:r>
          </w:p>
        </w:tc>
        <w:tc>
          <w:tcPr>
            <w:tcW w:w="1386" w:type="pct"/>
            <w:vAlign w:val="center"/>
          </w:tcPr>
          <w:p>
            <w:pPr>
              <w:rPr>
                <w:rFonts w:hint="eastAsia" w:ascii="宋体" w:hAnsi="宋体" w:eastAsia="宋体" w:cs="Times New Roman"/>
                <w:kern w:val="0"/>
                <w:szCs w:val="21"/>
              </w:rPr>
            </w:pPr>
            <w:r>
              <w:rPr>
                <w:rFonts w:ascii="宋体" w:hAnsi="宋体" w:eastAsia="宋体" w:cs="Times New Roman"/>
                <w:kern w:val="0"/>
                <w:szCs w:val="21"/>
              </w:rPr>
              <w:t>现行规程规定了水泥标准筛的概述、计量性能要求、通用技术要求、计量器具控制等</w:t>
            </w:r>
            <w:r>
              <w:rPr>
                <w:rFonts w:hint="eastAsia" w:ascii="宋体" w:hAnsi="宋体" w:eastAsia="宋体" w:cs="Times New Roman"/>
                <w:kern w:val="0"/>
                <w:szCs w:val="21"/>
              </w:rPr>
              <w:t>。</w:t>
            </w:r>
          </w:p>
          <w:p>
            <w:pPr>
              <w:rPr>
                <w:rFonts w:hint="eastAsia" w:ascii="宋体" w:hAnsi="宋体" w:eastAsia="宋体" w:cs="Times New Roman"/>
                <w:kern w:val="0"/>
                <w:szCs w:val="21"/>
              </w:rPr>
            </w:pPr>
            <w:r>
              <w:rPr>
                <w:rFonts w:ascii="宋体" w:hAnsi="宋体" w:eastAsia="宋体" w:cs="Times New Roman"/>
                <w:kern w:val="0"/>
                <w:szCs w:val="21"/>
              </w:rPr>
              <w:t>适用于水泥标准筛的首次检定、后续检定和使用中检验。</w:t>
            </w:r>
          </w:p>
          <w:p>
            <w:pPr>
              <w:rPr>
                <w:rFonts w:hint="eastAsia" w:ascii="宋体" w:hAnsi="宋体" w:eastAsia="宋体" w:cs="Times New Roman"/>
                <w:kern w:val="0"/>
                <w:szCs w:val="21"/>
              </w:rPr>
            </w:pPr>
            <w:r>
              <w:rPr>
                <w:rFonts w:ascii="宋体" w:hAnsi="宋体" w:eastAsia="宋体" w:cs="Times New Roman"/>
                <w:kern w:val="0"/>
                <w:szCs w:val="21"/>
              </w:rPr>
              <w:t>主要修订内容：1.</w:t>
            </w:r>
            <w:r>
              <w:rPr>
                <w:rFonts w:hint="eastAsia" w:ascii="宋体" w:hAnsi="宋体" w:eastAsia="宋体" w:cs="Times New Roman"/>
                <w:kern w:val="0"/>
                <w:szCs w:val="21"/>
              </w:rPr>
              <w:t>更改</w:t>
            </w:r>
            <w:r>
              <w:rPr>
                <w:rFonts w:ascii="宋体" w:hAnsi="宋体" w:eastAsia="宋体" w:cs="Times New Roman"/>
                <w:kern w:val="0"/>
                <w:szCs w:val="21"/>
              </w:rPr>
              <w:t>水泥标准筛计量性能要求，包括水泥标准筛筛孔尺寸（任意筛孔最大尺寸、筛孔平均尺寸、丝直径）；2.增加水泥标准筛修正系数；3.删除原规程中关于筛框的要求；4.</w:t>
            </w:r>
            <w:r>
              <w:rPr>
                <w:rFonts w:hint="eastAsia" w:ascii="宋体" w:hAnsi="宋体" w:eastAsia="宋体" w:cs="Times New Roman"/>
                <w:kern w:val="0"/>
                <w:szCs w:val="21"/>
              </w:rPr>
              <w:t>更改</w:t>
            </w:r>
            <w:r>
              <w:rPr>
                <w:rFonts w:ascii="宋体" w:hAnsi="宋体" w:eastAsia="宋体" w:cs="Times New Roman"/>
                <w:kern w:val="0"/>
                <w:szCs w:val="21"/>
              </w:rPr>
              <w:t>通用技术要求；5.</w:t>
            </w:r>
            <w:r>
              <w:rPr>
                <w:rFonts w:hint="eastAsia" w:ascii="宋体" w:hAnsi="宋体" w:eastAsia="宋体" w:cs="Times New Roman"/>
                <w:kern w:val="0"/>
                <w:szCs w:val="21"/>
              </w:rPr>
              <w:t>更改</w:t>
            </w:r>
            <w:r>
              <w:rPr>
                <w:rFonts w:ascii="宋体" w:hAnsi="宋体" w:eastAsia="宋体" w:cs="Times New Roman"/>
                <w:kern w:val="0"/>
                <w:szCs w:val="21"/>
              </w:rPr>
              <w:t>水泥标准筛筛孔测量设备的要求；6.增加水泥细度（筛析法）标准样品的要求；7.删除钢板尺；8.</w:t>
            </w:r>
            <w:r>
              <w:rPr>
                <w:rFonts w:hint="eastAsia" w:ascii="宋体" w:hAnsi="宋体" w:eastAsia="宋体" w:cs="Times New Roman"/>
                <w:kern w:val="0"/>
                <w:szCs w:val="21"/>
              </w:rPr>
              <w:t>更改</w:t>
            </w:r>
            <w:r>
              <w:rPr>
                <w:rFonts w:ascii="宋体" w:hAnsi="宋体" w:eastAsia="宋体" w:cs="Times New Roman"/>
                <w:kern w:val="0"/>
                <w:szCs w:val="21"/>
              </w:rPr>
              <w:t>水泥标准筛筛孔尺寸检定方法；9.增加水泥标准筛修正系数的检定方法；10.</w:t>
            </w:r>
            <w:r>
              <w:rPr>
                <w:rFonts w:hint="eastAsia" w:ascii="宋体" w:hAnsi="宋体" w:eastAsia="宋体" w:cs="Times New Roman"/>
                <w:kern w:val="0"/>
                <w:szCs w:val="21"/>
              </w:rPr>
              <w:t>更改</w:t>
            </w:r>
            <w:r>
              <w:rPr>
                <w:rFonts w:ascii="宋体" w:hAnsi="宋体" w:eastAsia="宋体" w:cs="Times New Roman"/>
                <w:kern w:val="0"/>
                <w:szCs w:val="21"/>
              </w:rPr>
              <w:t>附录A、附录B、附录C的表格样式。</w:t>
            </w:r>
          </w:p>
        </w:tc>
        <w:tc>
          <w:tcPr>
            <w:tcW w:w="235" w:type="pct"/>
            <w:vAlign w:val="center"/>
          </w:tcPr>
          <w:p>
            <w:pPr>
              <w:jc w:val="center"/>
              <w:rPr>
                <w:rFonts w:hint="eastAsia" w:ascii="宋体" w:hAnsi="宋体" w:eastAsia="宋体" w:cs="Times New Roman"/>
                <w:kern w:val="0"/>
                <w:szCs w:val="21"/>
              </w:rPr>
            </w:pPr>
            <w:r>
              <w:rPr>
                <w:rFonts w:hint="eastAsia" w:ascii="宋体" w:hAnsi="宋体" w:eastAsia="宋体" w:cs="Times New Roman"/>
                <w:kern w:val="0"/>
                <w:szCs w:val="21"/>
              </w:rPr>
              <w:t>修订</w:t>
            </w:r>
          </w:p>
        </w:tc>
        <w:tc>
          <w:tcPr>
            <w:tcW w:w="375" w:type="pct"/>
            <w:vAlign w:val="center"/>
          </w:tcPr>
          <w:p>
            <w:pPr>
              <w:jc w:val="center"/>
              <w:rPr>
                <w:rFonts w:hint="eastAsia" w:ascii="宋体" w:hAnsi="宋体" w:eastAsia="宋体" w:cs="Times New Roman"/>
                <w:bCs/>
                <w:kern w:val="0"/>
                <w:szCs w:val="21"/>
              </w:rPr>
            </w:pPr>
            <w:r>
              <w:rPr>
                <w:rFonts w:ascii="宋体" w:hAnsi="宋体" w:eastAsia="宋体" w:cs="宋体"/>
                <w:kern w:val="0"/>
                <w:szCs w:val="21"/>
              </w:rPr>
              <w:t>JJG(交通) 049</w:t>
            </w:r>
            <w:r>
              <w:rPr>
                <w:rFonts w:hint="eastAsia" w:ascii="宋体" w:hAnsi="宋体" w:eastAsia="宋体" w:cs="宋体"/>
                <w:kern w:val="0"/>
                <w:szCs w:val="21"/>
              </w:rPr>
              <w:t>—</w:t>
            </w:r>
            <w:r>
              <w:rPr>
                <w:rFonts w:ascii="宋体" w:hAnsi="宋体" w:eastAsia="宋体" w:cs="宋体"/>
                <w:kern w:val="0"/>
                <w:szCs w:val="21"/>
              </w:rPr>
              <w:t>2004</w:t>
            </w:r>
          </w:p>
        </w:tc>
        <w:tc>
          <w:tcPr>
            <w:tcW w:w="375" w:type="pct"/>
            <w:vAlign w:val="center"/>
          </w:tcPr>
          <w:p>
            <w:pPr>
              <w:jc w:val="center"/>
              <w:rPr>
                <w:rFonts w:hint="eastAsia" w:ascii="宋体" w:hAnsi="宋体" w:eastAsia="宋体" w:cs="Times New Roman"/>
                <w:kern w:val="0"/>
                <w:szCs w:val="21"/>
              </w:rPr>
            </w:pPr>
            <w:r>
              <w:rPr>
                <w:rFonts w:hint="eastAsia" w:ascii="宋体" w:hAnsi="宋体" w:eastAsia="宋体" w:cs="Times New Roman"/>
                <w:kern w:val="0"/>
                <w:szCs w:val="21"/>
              </w:rPr>
              <w:t>12</w:t>
            </w:r>
          </w:p>
        </w:tc>
        <w:tc>
          <w:tcPr>
            <w:tcW w:w="562" w:type="pct"/>
            <w:vAlign w:val="center"/>
          </w:tcPr>
          <w:p>
            <w:pPr>
              <w:jc w:val="center"/>
              <w:rPr>
                <w:rFonts w:hint="eastAsia" w:ascii="宋体" w:hAnsi="宋体" w:eastAsia="宋体" w:cs="Times New Roman"/>
                <w:kern w:val="0"/>
                <w:szCs w:val="21"/>
              </w:rPr>
            </w:pPr>
            <w:r>
              <w:rPr>
                <w:rFonts w:hint="eastAsia" w:ascii="宋体" w:hAnsi="宋体" w:eastAsia="宋体" w:cs="Times New Roman"/>
                <w:kern w:val="0"/>
                <w:szCs w:val="21"/>
              </w:rPr>
              <w:t>公路计量委员会</w:t>
            </w:r>
          </w:p>
        </w:tc>
        <w:tc>
          <w:tcPr>
            <w:tcW w:w="925" w:type="pct"/>
            <w:vAlign w:val="center"/>
          </w:tcPr>
          <w:p>
            <w:pPr>
              <w:jc w:val="left"/>
              <w:rPr>
                <w:rFonts w:hint="eastAsia" w:ascii="宋体" w:hAnsi="宋体" w:eastAsia="宋体"/>
                <w:kern w:val="0"/>
                <w:szCs w:val="21"/>
              </w:rPr>
            </w:pPr>
            <w:r>
              <w:rPr>
                <w:rFonts w:ascii="宋体" w:hAnsi="宋体" w:eastAsia="宋体"/>
                <w:kern w:val="0"/>
                <w:szCs w:val="21"/>
              </w:rPr>
              <w:t>交通运输部科学研究院</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85" w:type="dxa"/>
            <w:bottom w:w="0" w:type="dxa"/>
            <w:right w:w="85" w:type="dxa"/>
          </w:tblCellMar>
        </w:tblPrEx>
        <w:trPr>
          <w:cantSplit/>
          <w:trHeight w:val="567" w:hRule="atLeast"/>
        </w:trPr>
        <w:tc>
          <w:tcPr>
            <w:tcW w:w="203" w:type="pct"/>
            <w:vAlign w:val="center"/>
          </w:tcPr>
          <w:p>
            <w:pPr>
              <w:jc w:val="center"/>
              <w:rPr>
                <w:rFonts w:hint="eastAsia" w:ascii="宋体" w:hAnsi="宋体" w:eastAsia="宋体" w:cs="Times New Roman"/>
                <w:bCs/>
                <w:kern w:val="0"/>
                <w:szCs w:val="21"/>
              </w:rPr>
            </w:pPr>
            <w:r>
              <w:rPr>
                <w:rFonts w:ascii="宋体" w:hAnsi="宋体" w:eastAsia="宋体" w:cs="Times New Roman"/>
                <w:bCs/>
                <w:kern w:val="0"/>
                <w:szCs w:val="21"/>
              </w:rPr>
              <w:t>5</w:t>
            </w:r>
          </w:p>
        </w:tc>
        <w:tc>
          <w:tcPr>
            <w:tcW w:w="451" w:type="pct"/>
            <w:vAlign w:val="center"/>
          </w:tcPr>
          <w:p>
            <w:pPr>
              <w:jc w:val="center"/>
              <w:rPr>
                <w:rFonts w:hint="eastAsia" w:ascii="宋体" w:hAnsi="宋体" w:eastAsia="宋体" w:cs="Times New Roman"/>
                <w:kern w:val="0"/>
                <w:szCs w:val="21"/>
              </w:rPr>
            </w:pPr>
            <w:r>
              <w:rPr>
                <w:rFonts w:hint="eastAsia" w:ascii="宋体" w:hAnsi="宋体" w:eastAsia="宋体"/>
                <w:kern w:val="0"/>
                <w:szCs w:val="21"/>
              </w:rPr>
              <w:t>JJG 2024-05</w:t>
            </w:r>
          </w:p>
        </w:tc>
        <w:tc>
          <w:tcPr>
            <w:tcW w:w="488" w:type="pct"/>
            <w:vAlign w:val="center"/>
          </w:tcPr>
          <w:p>
            <w:pPr>
              <w:jc w:val="left"/>
              <w:rPr>
                <w:rFonts w:hint="eastAsia" w:ascii="宋体" w:hAnsi="宋体" w:eastAsia="宋体"/>
                <w:kern w:val="0"/>
                <w:szCs w:val="21"/>
              </w:rPr>
            </w:pPr>
            <w:r>
              <w:rPr>
                <w:rFonts w:ascii="宋体" w:hAnsi="宋体" w:eastAsia="宋体"/>
                <w:kern w:val="0"/>
                <w:szCs w:val="21"/>
              </w:rPr>
              <w:t>港口机械  重锤式角度检测仪</w:t>
            </w:r>
          </w:p>
        </w:tc>
        <w:tc>
          <w:tcPr>
            <w:tcW w:w="1386" w:type="pct"/>
            <w:vAlign w:val="center"/>
          </w:tcPr>
          <w:p>
            <w:pPr>
              <w:rPr>
                <w:rFonts w:hint="eastAsia" w:ascii="宋体" w:hAnsi="宋体" w:eastAsia="宋体" w:cs="Times New Roman"/>
                <w:kern w:val="0"/>
                <w:szCs w:val="21"/>
              </w:rPr>
            </w:pPr>
            <w:r>
              <w:rPr>
                <w:rFonts w:ascii="宋体" w:hAnsi="宋体" w:eastAsia="宋体" w:cs="Times New Roman"/>
                <w:kern w:val="0"/>
                <w:szCs w:val="21"/>
              </w:rPr>
              <w:t>拟规定港口机械重锤式角度检测仪的概述、计量性能要求、通用技术要求、计量器具控制等。</w:t>
            </w:r>
          </w:p>
          <w:p>
            <w:pPr>
              <w:rPr>
                <w:rFonts w:hint="eastAsia" w:ascii="宋体" w:hAnsi="宋体" w:eastAsia="宋体" w:cs="Times New Roman"/>
                <w:kern w:val="0"/>
                <w:szCs w:val="21"/>
              </w:rPr>
            </w:pPr>
            <w:r>
              <w:rPr>
                <w:rFonts w:ascii="宋体" w:hAnsi="宋体" w:eastAsia="宋体" w:cs="Times New Roman"/>
                <w:kern w:val="0"/>
                <w:szCs w:val="21"/>
              </w:rPr>
              <w:t>适用于港口机械重锤式角度检测仪的首次检定、后续检定和使用中检查。</w:t>
            </w:r>
          </w:p>
        </w:tc>
        <w:tc>
          <w:tcPr>
            <w:tcW w:w="235" w:type="pct"/>
            <w:vAlign w:val="center"/>
          </w:tcPr>
          <w:p>
            <w:pPr>
              <w:jc w:val="center"/>
              <w:rPr>
                <w:rFonts w:hint="eastAsia" w:ascii="宋体" w:hAnsi="宋体" w:eastAsia="宋体" w:cs="Times New Roman"/>
                <w:kern w:val="0"/>
                <w:szCs w:val="21"/>
              </w:rPr>
            </w:pPr>
            <w:r>
              <w:rPr>
                <w:rFonts w:hint="eastAsia" w:ascii="宋体" w:hAnsi="宋体" w:eastAsia="宋体" w:cs="Times New Roman"/>
                <w:kern w:val="0"/>
                <w:szCs w:val="21"/>
              </w:rPr>
              <w:t>制定</w:t>
            </w:r>
          </w:p>
        </w:tc>
        <w:tc>
          <w:tcPr>
            <w:tcW w:w="375" w:type="pct"/>
            <w:vAlign w:val="center"/>
          </w:tcPr>
          <w:p>
            <w:pPr>
              <w:jc w:val="center"/>
              <w:rPr>
                <w:rFonts w:hint="eastAsia" w:ascii="宋体" w:hAnsi="宋体" w:eastAsia="宋体" w:cs="Times New Roman"/>
                <w:bCs/>
                <w:kern w:val="0"/>
                <w:szCs w:val="21"/>
              </w:rPr>
            </w:pPr>
          </w:p>
        </w:tc>
        <w:tc>
          <w:tcPr>
            <w:tcW w:w="375" w:type="pct"/>
            <w:vAlign w:val="center"/>
          </w:tcPr>
          <w:p>
            <w:pPr>
              <w:jc w:val="center"/>
              <w:rPr>
                <w:rFonts w:hint="eastAsia" w:ascii="宋体" w:hAnsi="宋体" w:eastAsia="宋体" w:cs="Times New Roman"/>
                <w:kern w:val="0"/>
                <w:szCs w:val="21"/>
              </w:rPr>
            </w:pPr>
            <w:r>
              <w:rPr>
                <w:rFonts w:hint="eastAsia" w:ascii="宋体" w:hAnsi="宋体" w:eastAsia="宋体" w:cs="Times New Roman"/>
                <w:kern w:val="0"/>
                <w:szCs w:val="21"/>
              </w:rPr>
              <w:t>1</w:t>
            </w:r>
            <w:r>
              <w:rPr>
                <w:rFonts w:ascii="宋体" w:hAnsi="宋体" w:eastAsia="宋体" w:cs="Times New Roman"/>
                <w:kern w:val="0"/>
                <w:szCs w:val="21"/>
              </w:rPr>
              <w:t>2</w:t>
            </w:r>
          </w:p>
        </w:tc>
        <w:tc>
          <w:tcPr>
            <w:tcW w:w="562" w:type="pct"/>
            <w:vAlign w:val="center"/>
          </w:tcPr>
          <w:p>
            <w:pPr>
              <w:jc w:val="center"/>
              <w:rPr>
                <w:rFonts w:hint="eastAsia" w:ascii="宋体" w:hAnsi="宋体" w:eastAsia="宋体" w:cs="Times New Roman"/>
                <w:kern w:val="0"/>
                <w:szCs w:val="21"/>
              </w:rPr>
            </w:pPr>
            <w:r>
              <w:rPr>
                <w:rFonts w:hint="eastAsia" w:ascii="宋体" w:hAnsi="宋体" w:eastAsia="宋体" w:cs="Times New Roman"/>
                <w:kern w:val="0"/>
                <w:szCs w:val="21"/>
              </w:rPr>
              <w:t>水运计量委员会</w:t>
            </w:r>
          </w:p>
        </w:tc>
        <w:tc>
          <w:tcPr>
            <w:tcW w:w="925" w:type="pct"/>
            <w:vAlign w:val="center"/>
          </w:tcPr>
          <w:p>
            <w:pPr>
              <w:jc w:val="left"/>
              <w:rPr>
                <w:rFonts w:hint="eastAsia" w:ascii="宋体" w:hAnsi="宋体" w:eastAsia="宋体"/>
                <w:kern w:val="0"/>
                <w:szCs w:val="21"/>
              </w:rPr>
            </w:pPr>
            <w:r>
              <w:rPr>
                <w:rFonts w:ascii="宋体" w:hAnsi="宋体" w:eastAsia="宋体"/>
                <w:kern w:val="0"/>
                <w:szCs w:val="21"/>
              </w:rPr>
              <w:t>交通运输部天津水运工程科学研究所、交通运输部水运科学研究所、苏交科集团股份有限公司、宁波市计量测试研究院、北京锐科环宇科技有限公司</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85" w:type="dxa"/>
            <w:bottom w:w="0" w:type="dxa"/>
            <w:right w:w="85" w:type="dxa"/>
          </w:tblCellMar>
        </w:tblPrEx>
        <w:trPr>
          <w:cantSplit/>
          <w:trHeight w:val="567" w:hRule="atLeast"/>
        </w:trPr>
        <w:tc>
          <w:tcPr>
            <w:tcW w:w="203" w:type="pct"/>
            <w:vAlign w:val="center"/>
          </w:tcPr>
          <w:p>
            <w:pPr>
              <w:jc w:val="center"/>
              <w:rPr>
                <w:rFonts w:hint="eastAsia" w:ascii="宋体" w:hAnsi="宋体" w:eastAsia="宋体" w:cs="Times New Roman"/>
                <w:bCs/>
                <w:kern w:val="0"/>
                <w:szCs w:val="21"/>
              </w:rPr>
            </w:pPr>
            <w:r>
              <w:rPr>
                <w:rFonts w:hint="eastAsia" w:ascii="宋体" w:hAnsi="宋体" w:eastAsia="宋体" w:cs="Times New Roman"/>
                <w:bCs/>
                <w:kern w:val="0"/>
                <w:szCs w:val="21"/>
              </w:rPr>
              <w:t>6</w:t>
            </w:r>
          </w:p>
        </w:tc>
        <w:tc>
          <w:tcPr>
            <w:tcW w:w="451" w:type="pct"/>
            <w:vAlign w:val="center"/>
          </w:tcPr>
          <w:p>
            <w:pPr>
              <w:jc w:val="center"/>
              <w:rPr>
                <w:rFonts w:hint="eastAsia" w:ascii="宋体" w:hAnsi="宋体" w:eastAsia="宋体"/>
                <w:kern w:val="0"/>
                <w:szCs w:val="21"/>
              </w:rPr>
            </w:pPr>
            <w:r>
              <w:rPr>
                <w:rFonts w:hint="eastAsia" w:ascii="宋体" w:hAnsi="宋体" w:eastAsia="宋体"/>
                <w:kern w:val="0"/>
                <w:szCs w:val="21"/>
              </w:rPr>
              <w:t>JJG 2024-06</w:t>
            </w:r>
          </w:p>
        </w:tc>
        <w:tc>
          <w:tcPr>
            <w:tcW w:w="488" w:type="pct"/>
            <w:vAlign w:val="center"/>
          </w:tcPr>
          <w:p>
            <w:pPr>
              <w:jc w:val="left"/>
              <w:rPr>
                <w:rFonts w:hint="eastAsia" w:ascii="宋体" w:hAnsi="宋体" w:eastAsia="宋体"/>
                <w:kern w:val="0"/>
                <w:szCs w:val="21"/>
              </w:rPr>
            </w:pPr>
            <w:r>
              <w:rPr>
                <w:rFonts w:ascii="宋体" w:hAnsi="宋体" w:eastAsia="宋体"/>
                <w:kern w:val="0"/>
                <w:szCs w:val="21"/>
              </w:rPr>
              <w:t>混凝土电通量测定仪</w:t>
            </w:r>
          </w:p>
        </w:tc>
        <w:tc>
          <w:tcPr>
            <w:tcW w:w="1386" w:type="pct"/>
            <w:vAlign w:val="center"/>
          </w:tcPr>
          <w:p>
            <w:pPr>
              <w:rPr>
                <w:rFonts w:hint="eastAsia" w:ascii="宋体" w:hAnsi="宋体" w:eastAsia="宋体" w:cs="Times New Roman"/>
                <w:kern w:val="0"/>
                <w:szCs w:val="21"/>
              </w:rPr>
            </w:pPr>
            <w:r>
              <w:rPr>
                <w:rFonts w:ascii="宋体" w:hAnsi="宋体" w:eastAsia="宋体" w:cs="Times New Roman"/>
                <w:kern w:val="0"/>
                <w:szCs w:val="21"/>
              </w:rPr>
              <w:t>拟规定混凝土电通量测定仪的概述、计量性能要求、通用技术要求、计量器具控制等。</w:t>
            </w:r>
          </w:p>
          <w:p>
            <w:pPr>
              <w:rPr>
                <w:rFonts w:hint="eastAsia" w:ascii="宋体" w:hAnsi="宋体" w:eastAsia="宋体" w:cs="Times New Roman"/>
                <w:kern w:val="0"/>
                <w:szCs w:val="21"/>
              </w:rPr>
            </w:pPr>
            <w:r>
              <w:rPr>
                <w:rFonts w:ascii="宋体" w:hAnsi="宋体" w:eastAsia="宋体" w:cs="Times New Roman"/>
                <w:kern w:val="0"/>
                <w:szCs w:val="21"/>
              </w:rPr>
              <w:t>适用于混凝土电通量测定仪的首次检定、后续检定和使用中检查。</w:t>
            </w:r>
          </w:p>
        </w:tc>
        <w:tc>
          <w:tcPr>
            <w:tcW w:w="235" w:type="pct"/>
            <w:vAlign w:val="center"/>
          </w:tcPr>
          <w:p>
            <w:pPr>
              <w:jc w:val="center"/>
              <w:rPr>
                <w:rFonts w:hint="eastAsia" w:ascii="宋体" w:hAnsi="宋体" w:eastAsia="宋体" w:cs="Times New Roman"/>
                <w:bCs/>
                <w:kern w:val="0"/>
                <w:szCs w:val="21"/>
              </w:rPr>
            </w:pPr>
            <w:r>
              <w:rPr>
                <w:rFonts w:hint="eastAsia" w:ascii="宋体" w:hAnsi="宋体" w:eastAsia="宋体" w:cs="Times New Roman"/>
                <w:kern w:val="0"/>
                <w:szCs w:val="21"/>
              </w:rPr>
              <w:t>制定</w:t>
            </w:r>
          </w:p>
        </w:tc>
        <w:tc>
          <w:tcPr>
            <w:tcW w:w="375" w:type="pct"/>
            <w:vAlign w:val="center"/>
          </w:tcPr>
          <w:p>
            <w:pPr>
              <w:jc w:val="center"/>
              <w:rPr>
                <w:rFonts w:hint="eastAsia" w:ascii="宋体" w:hAnsi="宋体" w:eastAsia="宋体" w:cs="Times New Roman"/>
                <w:bCs/>
                <w:kern w:val="0"/>
                <w:szCs w:val="21"/>
              </w:rPr>
            </w:pPr>
          </w:p>
        </w:tc>
        <w:tc>
          <w:tcPr>
            <w:tcW w:w="375" w:type="pct"/>
            <w:vAlign w:val="center"/>
          </w:tcPr>
          <w:p>
            <w:pPr>
              <w:jc w:val="center"/>
              <w:rPr>
                <w:rFonts w:hint="eastAsia" w:ascii="宋体" w:hAnsi="宋体" w:eastAsia="宋体" w:cs="Times New Roman"/>
                <w:bCs/>
                <w:kern w:val="0"/>
                <w:szCs w:val="21"/>
              </w:rPr>
            </w:pPr>
            <w:r>
              <w:rPr>
                <w:rFonts w:hint="eastAsia" w:ascii="宋体" w:hAnsi="宋体" w:eastAsia="宋体" w:cs="Times New Roman"/>
                <w:kern w:val="0"/>
                <w:szCs w:val="21"/>
              </w:rPr>
              <w:t>12</w:t>
            </w:r>
          </w:p>
        </w:tc>
        <w:tc>
          <w:tcPr>
            <w:tcW w:w="562" w:type="pct"/>
            <w:vAlign w:val="center"/>
          </w:tcPr>
          <w:p>
            <w:pPr>
              <w:jc w:val="center"/>
              <w:rPr>
                <w:rFonts w:hint="eastAsia" w:ascii="宋体" w:hAnsi="宋体" w:eastAsia="宋体" w:cs="Times New Roman"/>
                <w:kern w:val="0"/>
                <w:szCs w:val="21"/>
              </w:rPr>
            </w:pPr>
            <w:r>
              <w:rPr>
                <w:rFonts w:hint="eastAsia" w:ascii="宋体" w:hAnsi="宋体" w:eastAsia="宋体" w:cs="Times New Roman"/>
                <w:kern w:val="0"/>
                <w:szCs w:val="21"/>
              </w:rPr>
              <w:t>水运计量委员会</w:t>
            </w:r>
          </w:p>
        </w:tc>
        <w:tc>
          <w:tcPr>
            <w:tcW w:w="925" w:type="pct"/>
            <w:vAlign w:val="center"/>
          </w:tcPr>
          <w:p>
            <w:pPr>
              <w:jc w:val="left"/>
              <w:rPr>
                <w:rFonts w:hint="eastAsia" w:ascii="宋体" w:hAnsi="宋体" w:eastAsia="宋体"/>
                <w:kern w:val="0"/>
                <w:szCs w:val="21"/>
              </w:rPr>
            </w:pPr>
            <w:r>
              <w:rPr>
                <w:rFonts w:ascii="宋体" w:hAnsi="宋体" w:eastAsia="宋体"/>
                <w:kern w:val="0"/>
                <w:szCs w:val="21"/>
              </w:rPr>
              <w:t>交通运输部天津水运工程科学研究所、江西省交通工程质量监督站试验检测中心、青海省交通检测有限公司、厦门合诚工程检测有限公司</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85" w:type="dxa"/>
            <w:bottom w:w="0" w:type="dxa"/>
            <w:right w:w="85" w:type="dxa"/>
          </w:tblCellMar>
        </w:tblPrEx>
        <w:trPr>
          <w:cantSplit/>
          <w:trHeight w:val="567" w:hRule="atLeast"/>
        </w:trPr>
        <w:tc>
          <w:tcPr>
            <w:tcW w:w="203" w:type="pct"/>
            <w:vAlign w:val="center"/>
          </w:tcPr>
          <w:p>
            <w:pPr>
              <w:jc w:val="center"/>
              <w:rPr>
                <w:rFonts w:hint="eastAsia" w:ascii="宋体" w:hAnsi="宋体" w:eastAsia="宋体" w:cs="Times New Roman"/>
                <w:bCs/>
                <w:kern w:val="0"/>
                <w:szCs w:val="21"/>
              </w:rPr>
            </w:pPr>
            <w:r>
              <w:rPr>
                <w:rFonts w:hint="eastAsia" w:ascii="宋体" w:hAnsi="宋体" w:eastAsia="宋体" w:cs="Times New Roman"/>
                <w:bCs/>
                <w:kern w:val="0"/>
                <w:szCs w:val="21"/>
              </w:rPr>
              <w:t>7</w:t>
            </w:r>
          </w:p>
        </w:tc>
        <w:tc>
          <w:tcPr>
            <w:tcW w:w="451" w:type="pct"/>
            <w:vAlign w:val="center"/>
          </w:tcPr>
          <w:p>
            <w:pPr>
              <w:jc w:val="center"/>
              <w:rPr>
                <w:rFonts w:hint="eastAsia" w:ascii="宋体" w:hAnsi="宋体" w:eastAsia="宋体"/>
                <w:kern w:val="0"/>
                <w:szCs w:val="21"/>
              </w:rPr>
            </w:pPr>
            <w:r>
              <w:rPr>
                <w:rFonts w:hint="eastAsia" w:ascii="宋体" w:hAnsi="宋体" w:eastAsia="宋体"/>
                <w:kern w:val="0"/>
                <w:szCs w:val="21"/>
              </w:rPr>
              <w:t>JJG 2024-07</w:t>
            </w:r>
          </w:p>
        </w:tc>
        <w:tc>
          <w:tcPr>
            <w:tcW w:w="488" w:type="pct"/>
            <w:vAlign w:val="center"/>
          </w:tcPr>
          <w:p>
            <w:pPr>
              <w:rPr>
                <w:rFonts w:hint="eastAsia" w:ascii="宋体" w:hAnsi="宋体" w:eastAsia="宋体" w:cs="Times New Roman"/>
                <w:kern w:val="0"/>
                <w:szCs w:val="21"/>
              </w:rPr>
            </w:pPr>
            <w:r>
              <w:rPr>
                <w:rFonts w:ascii="宋体" w:hAnsi="宋体" w:eastAsia="宋体"/>
                <w:kern w:val="0"/>
                <w:szCs w:val="21"/>
              </w:rPr>
              <w:t>原位自校低频振动传感器</w:t>
            </w:r>
          </w:p>
        </w:tc>
        <w:tc>
          <w:tcPr>
            <w:tcW w:w="1386" w:type="pct"/>
            <w:vAlign w:val="center"/>
          </w:tcPr>
          <w:p>
            <w:pPr>
              <w:rPr>
                <w:rFonts w:hint="eastAsia" w:ascii="宋体" w:hAnsi="宋体" w:eastAsia="宋体" w:cs="Times New Roman"/>
                <w:kern w:val="0"/>
                <w:szCs w:val="21"/>
              </w:rPr>
            </w:pPr>
            <w:r>
              <w:rPr>
                <w:rFonts w:ascii="宋体" w:hAnsi="宋体" w:eastAsia="宋体" w:cs="Times New Roman"/>
                <w:kern w:val="0"/>
                <w:szCs w:val="21"/>
              </w:rPr>
              <w:t>拟规定原位自校低频振动传感器的计量性能要求、通用技术要求、计量器具控制等。</w:t>
            </w:r>
          </w:p>
          <w:p>
            <w:pPr>
              <w:rPr>
                <w:rFonts w:hint="eastAsia" w:ascii="宋体" w:hAnsi="宋体" w:eastAsia="宋体" w:cs="Times New Roman"/>
                <w:kern w:val="0"/>
                <w:szCs w:val="21"/>
              </w:rPr>
            </w:pPr>
            <w:r>
              <w:rPr>
                <w:rFonts w:ascii="宋体" w:hAnsi="宋体" w:eastAsia="宋体" w:cs="Times New Roman"/>
                <w:kern w:val="0"/>
                <w:szCs w:val="21"/>
              </w:rPr>
              <w:t>适用于原位自校低频振动传感器的首次检定、后续检定和使用中检查。</w:t>
            </w:r>
          </w:p>
        </w:tc>
        <w:tc>
          <w:tcPr>
            <w:tcW w:w="235" w:type="pct"/>
            <w:vAlign w:val="center"/>
          </w:tcPr>
          <w:p>
            <w:pPr>
              <w:jc w:val="center"/>
              <w:rPr>
                <w:rFonts w:hint="eastAsia" w:ascii="宋体" w:hAnsi="宋体" w:eastAsia="宋体" w:cs="Times New Roman"/>
                <w:kern w:val="0"/>
                <w:szCs w:val="21"/>
              </w:rPr>
            </w:pPr>
            <w:r>
              <w:rPr>
                <w:rFonts w:hint="eastAsia" w:ascii="宋体" w:hAnsi="宋体" w:eastAsia="宋体" w:cs="Times New Roman"/>
                <w:kern w:val="0"/>
                <w:szCs w:val="21"/>
              </w:rPr>
              <w:t>制定</w:t>
            </w:r>
          </w:p>
        </w:tc>
        <w:tc>
          <w:tcPr>
            <w:tcW w:w="375" w:type="pct"/>
            <w:vAlign w:val="center"/>
          </w:tcPr>
          <w:p>
            <w:pPr>
              <w:jc w:val="center"/>
              <w:rPr>
                <w:rFonts w:hint="eastAsia" w:ascii="宋体" w:hAnsi="宋体" w:eastAsia="宋体" w:cs="Times New Roman"/>
                <w:bCs/>
                <w:kern w:val="0"/>
                <w:szCs w:val="21"/>
              </w:rPr>
            </w:pPr>
          </w:p>
        </w:tc>
        <w:tc>
          <w:tcPr>
            <w:tcW w:w="375" w:type="pct"/>
            <w:vAlign w:val="center"/>
          </w:tcPr>
          <w:p>
            <w:pPr>
              <w:jc w:val="center"/>
              <w:rPr>
                <w:rFonts w:hint="eastAsia" w:ascii="宋体" w:hAnsi="宋体" w:eastAsia="宋体" w:cs="Times New Roman"/>
                <w:kern w:val="0"/>
                <w:szCs w:val="21"/>
              </w:rPr>
            </w:pPr>
            <w:r>
              <w:rPr>
                <w:rFonts w:hint="eastAsia" w:ascii="宋体" w:hAnsi="宋体" w:eastAsia="宋体" w:cs="Times New Roman"/>
                <w:kern w:val="0"/>
                <w:szCs w:val="21"/>
              </w:rPr>
              <w:t>12</w:t>
            </w:r>
          </w:p>
        </w:tc>
        <w:tc>
          <w:tcPr>
            <w:tcW w:w="562" w:type="pct"/>
            <w:vAlign w:val="center"/>
          </w:tcPr>
          <w:p>
            <w:pPr>
              <w:jc w:val="center"/>
              <w:rPr>
                <w:rFonts w:hint="eastAsia" w:ascii="宋体" w:hAnsi="宋体" w:eastAsia="宋体" w:cs="Times New Roman"/>
                <w:bCs/>
                <w:kern w:val="0"/>
                <w:szCs w:val="21"/>
              </w:rPr>
            </w:pPr>
            <w:r>
              <w:rPr>
                <w:rFonts w:hint="eastAsia" w:ascii="宋体" w:hAnsi="宋体" w:eastAsia="宋体" w:cs="Times New Roman"/>
                <w:kern w:val="0"/>
                <w:szCs w:val="21"/>
              </w:rPr>
              <w:t>水运计量委员会</w:t>
            </w:r>
          </w:p>
        </w:tc>
        <w:tc>
          <w:tcPr>
            <w:tcW w:w="925" w:type="pct"/>
            <w:vAlign w:val="center"/>
          </w:tcPr>
          <w:p>
            <w:pPr>
              <w:jc w:val="left"/>
              <w:rPr>
                <w:rFonts w:hint="eastAsia" w:ascii="宋体" w:hAnsi="宋体" w:eastAsia="宋体"/>
                <w:kern w:val="0"/>
                <w:szCs w:val="21"/>
              </w:rPr>
            </w:pPr>
            <w:r>
              <w:rPr>
                <w:rFonts w:ascii="宋体" w:hAnsi="宋体" w:eastAsia="宋体"/>
                <w:kern w:val="0"/>
                <w:szCs w:val="21"/>
              </w:rPr>
              <w:t>交通运输部天津水运工程科学研究所、中国计量科学研究院、东华测试技术股份有限公司</w:t>
            </w:r>
          </w:p>
        </w:tc>
      </w:tr>
    </w:tbl>
    <w:p>
      <w:pPr>
        <w:rPr>
          <w:rFonts w:ascii="仿宋_GB2312" w:hAnsi="Times New Roman" w:eastAsia="仿宋_GB2312"/>
          <w:sz w:val="30"/>
          <w:szCs w:val="30"/>
        </w:rPr>
      </w:pPr>
    </w:p>
    <w:p>
      <w:pPr>
        <w:widowControl/>
        <w:jc w:val="left"/>
        <w:rPr>
          <w:rFonts w:ascii="仿宋_GB2312" w:hAnsi="Times New Roman" w:eastAsia="仿宋_GB2312"/>
          <w:sz w:val="30"/>
          <w:szCs w:val="30"/>
        </w:rPr>
        <w:sectPr>
          <w:headerReference r:id="rId3" w:type="default"/>
          <w:footerReference r:id="rId4" w:type="default"/>
          <w:pgSz w:w="16838" w:h="11906" w:orient="landscape"/>
          <w:pgMar w:top="850" w:right="851" w:bottom="850" w:left="851" w:header="851" w:footer="992" w:gutter="0"/>
          <w:cols w:space="0" w:num="1"/>
          <w:docGrid w:linePitch="326" w:charSpace="0"/>
        </w:sectPr>
      </w:pPr>
    </w:p>
    <w:p>
      <w:pPr>
        <w:widowControl/>
        <w:jc w:val="left"/>
        <w:rPr>
          <w:rFonts w:ascii="仿宋_GB2312" w:hAnsi="Times New Roman" w:eastAsia="仿宋_GB2312"/>
          <w:sz w:val="30"/>
          <w:szCs w:val="30"/>
        </w:rPr>
      </w:pPr>
    </w:p>
    <w:p>
      <w:pPr>
        <w:rPr>
          <w:rFonts w:ascii="仿宋_GB2312" w:hAnsi="Times New Roman" w:eastAsia="仿宋_GB2312"/>
          <w:sz w:val="30"/>
          <w:szCs w:val="30"/>
        </w:rPr>
      </w:pPr>
      <w:r>
        <w:rPr>
          <w:rFonts w:hint="eastAsia" w:ascii="仿宋_GB2312" w:hAnsi="Times New Roman" w:eastAsia="仿宋_GB2312"/>
          <w:sz w:val="30"/>
          <w:szCs w:val="30"/>
        </w:rPr>
        <w:t>注：技术归口单位列仅列出了简称，其全称如下所示。</w:t>
      </w:r>
    </w:p>
    <w:tbl>
      <w:tblPr>
        <w:tblStyle w:val="10"/>
        <w:tblW w:w="10080"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5" w:type="dxa"/>
          <w:bottom w:w="0" w:type="dxa"/>
          <w:right w:w="15" w:type="dxa"/>
        </w:tblCellMar>
      </w:tblPr>
      <w:tblGrid>
        <w:gridCol w:w="846"/>
        <w:gridCol w:w="2977"/>
        <w:gridCol w:w="625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5" w:type="dxa"/>
            <w:bottom w:w="0" w:type="dxa"/>
            <w:right w:w="15" w:type="dxa"/>
          </w:tblCellMar>
        </w:tblPrEx>
        <w:trPr>
          <w:trHeight w:val="364" w:hRule="atLeast"/>
          <w:tblHeader/>
        </w:trPr>
        <w:tc>
          <w:tcPr>
            <w:tcW w:w="846" w:type="dxa"/>
            <w:vAlign w:val="center"/>
          </w:tcPr>
          <w:p>
            <w:pPr>
              <w:autoSpaceDN w:val="0"/>
              <w:spacing w:line="400" w:lineRule="exact"/>
              <w:jc w:val="center"/>
              <w:textAlignment w:val="center"/>
              <w:rPr>
                <w:rFonts w:hint="eastAsia" w:ascii="仿宋_GB2312" w:eastAsia="仿宋_GB2312"/>
                <w:b/>
                <w:sz w:val="24"/>
              </w:rPr>
            </w:pPr>
            <w:r>
              <w:rPr>
                <w:rFonts w:hint="eastAsia" w:ascii="仿宋_GB2312" w:eastAsia="仿宋_GB2312"/>
                <w:b/>
                <w:sz w:val="24"/>
              </w:rPr>
              <w:t>序号</w:t>
            </w:r>
          </w:p>
        </w:tc>
        <w:tc>
          <w:tcPr>
            <w:tcW w:w="2977" w:type="dxa"/>
            <w:vAlign w:val="center"/>
          </w:tcPr>
          <w:p>
            <w:pPr>
              <w:autoSpaceDN w:val="0"/>
              <w:spacing w:line="400" w:lineRule="exact"/>
              <w:jc w:val="center"/>
              <w:textAlignment w:val="center"/>
              <w:rPr>
                <w:rFonts w:hint="eastAsia" w:ascii="仿宋_GB2312" w:eastAsia="仿宋_GB2312"/>
                <w:b/>
                <w:sz w:val="24"/>
              </w:rPr>
            </w:pPr>
            <w:r>
              <w:rPr>
                <w:rFonts w:hint="eastAsia" w:ascii="仿宋_GB2312" w:eastAsia="仿宋_GB2312"/>
                <w:b/>
                <w:sz w:val="24"/>
              </w:rPr>
              <w:t>简称</w:t>
            </w:r>
          </w:p>
        </w:tc>
        <w:tc>
          <w:tcPr>
            <w:tcW w:w="6257" w:type="dxa"/>
            <w:vAlign w:val="center"/>
          </w:tcPr>
          <w:p>
            <w:pPr>
              <w:autoSpaceDN w:val="0"/>
              <w:spacing w:line="400" w:lineRule="exact"/>
              <w:jc w:val="center"/>
              <w:textAlignment w:val="center"/>
              <w:rPr>
                <w:rFonts w:hint="eastAsia" w:ascii="仿宋_GB2312" w:eastAsia="仿宋_GB2312"/>
                <w:b/>
                <w:sz w:val="24"/>
              </w:rPr>
            </w:pPr>
            <w:r>
              <w:rPr>
                <w:rFonts w:hint="eastAsia" w:ascii="仿宋_GB2312" w:eastAsia="仿宋_GB2312"/>
                <w:b/>
                <w:sz w:val="24"/>
              </w:rPr>
              <w:t>全称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5" w:type="dxa"/>
            <w:bottom w:w="0" w:type="dxa"/>
            <w:right w:w="15" w:type="dxa"/>
          </w:tblCellMar>
        </w:tblPrEx>
        <w:trPr>
          <w:trHeight w:val="424" w:hRule="atLeast"/>
        </w:trPr>
        <w:tc>
          <w:tcPr>
            <w:tcW w:w="846" w:type="dxa"/>
            <w:vAlign w:val="center"/>
          </w:tcPr>
          <w:p>
            <w:pPr>
              <w:autoSpaceDN w:val="0"/>
              <w:spacing w:line="400" w:lineRule="exact"/>
              <w:jc w:val="center"/>
              <w:textAlignment w:val="center"/>
              <w:rPr>
                <w:rFonts w:hint="eastAsia" w:ascii="仿宋_GB2312" w:eastAsia="仿宋_GB2312"/>
                <w:sz w:val="24"/>
              </w:rPr>
            </w:pPr>
            <w:r>
              <w:rPr>
                <w:rFonts w:ascii="仿宋_GB2312" w:eastAsia="仿宋_GB2312"/>
                <w:sz w:val="24"/>
              </w:rPr>
              <w:t>1</w:t>
            </w:r>
          </w:p>
        </w:tc>
        <w:tc>
          <w:tcPr>
            <w:tcW w:w="2977" w:type="dxa"/>
            <w:vAlign w:val="center"/>
          </w:tcPr>
          <w:p>
            <w:pPr>
              <w:autoSpaceDN w:val="0"/>
              <w:spacing w:line="400" w:lineRule="exact"/>
              <w:jc w:val="center"/>
              <w:textAlignment w:val="center"/>
              <w:rPr>
                <w:rFonts w:hint="eastAsia" w:ascii="仿宋_GB2312" w:eastAsia="仿宋_GB2312"/>
                <w:sz w:val="24"/>
              </w:rPr>
            </w:pPr>
            <w:r>
              <w:rPr>
                <w:rFonts w:hint="eastAsia" w:ascii="仿宋_GB2312" w:eastAsia="仿宋_GB2312"/>
                <w:sz w:val="24"/>
              </w:rPr>
              <w:t>综合运输标委会</w:t>
            </w:r>
          </w:p>
        </w:tc>
        <w:tc>
          <w:tcPr>
            <w:tcW w:w="6257" w:type="dxa"/>
          </w:tcPr>
          <w:p>
            <w:pPr>
              <w:autoSpaceDN w:val="0"/>
              <w:spacing w:line="400" w:lineRule="exact"/>
              <w:ind w:firstLine="120" w:firstLineChars="50"/>
              <w:jc w:val="center"/>
              <w:textAlignment w:val="center"/>
              <w:rPr>
                <w:rFonts w:hint="eastAsia" w:ascii="仿宋_GB2312" w:eastAsia="仿宋_GB2312"/>
                <w:sz w:val="24"/>
              </w:rPr>
            </w:pPr>
            <w:r>
              <w:rPr>
                <w:rFonts w:hint="eastAsia" w:ascii="仿宋_GB2312" w:eastAsia="仿宋_GB2312"/>
                <w:sz w:val="24"/>
              </w:rPr>
              <w:t>全国综合交通运输标准化技术委员会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5" w:type="dxa"/>
            <w:bottom w:w="0" w:type="dxa"/>
            <w:right w:w="15" w:type="dxa"/>
          </w:tblCellMar>
        </w:tblPrEx>
        <w:trPr>
          <w:trHeight w:val="424" w:hRule="atLeast"/>
        </w:trPr>
        <w:tc>
          <w:tcPr>
            <w:tcW w:w="846" w:type="dxa"/>
            <w:vAlign w:val="center"/>
          </w:tcPr>
          <w:p>
            <w:pPr>
              <w:autoSpaceDN w:val="0"/>
              <w:spacing w:line="400" w:lineRule="exact"/>
              <w:jc w:val="center"/>
              <w:textAlignment w:val="center"/>
              <w:rPr>
                <w:rFonts w:hint="eastAsia" w:ascii="仿宋_GB2312" w:eastAsia="仿宋_GB2312"/>
                <w:sz w:val="24"/>
              </w:rPr>
            </w:pPr>
            <w:r>
              <w:rPr>
                <w:rFonts w:ascii="仿宋_GB2312" w:eastAsia="仿宋_GB2312"/>
                <w:sz w:val="24"/>
              </w:rPr>
              <w:t>2</w:t>
            </w:r>
          </w:p>
        </w:tc>
        <w:tc>
          <w:tcPr>
            <w:tcW w:w="2977" w:type="dxa"/>
            <w:vAlign w:val="center"/>
          </w:tcPr>
          <w:p>
            <w:pPr>
              <w:autoSpaceDN w:val="0"/>
              <w:spacing w:line="400" w:lineRule="exact"/>
              <w:jc w:val="center"/>
              <w:textAlignment w:val="center"/>
              <w:rPr>
                <w:rFonts w:hint="eastAsia" w:ascii="仿宋_GB2312" w:eastAsia="仿宋_GB2312"/>
                <w:sz w:val="24"/>
              </w:rPr>
            </w:pPr>
            <w:r>
              <w:rPr>
                <w:rFonts w:hint="eastAsia" w:ascii="仿宋_GB2312" w:eastAsia="仿宋_GB2312"/>
                <w:sz w:val="24"/>
              </w:rPr>
              <w:t>内河船与水路运输标委会</w:t>
            </w:r>
          </w:p>
        </w:tc>
        <w:tc>
          <w:tcPr>
            <w:tcW w:w="6257" w:type="dxa"/>
            <w:vAlign w:val="center"/>
          </w:tcPr>
          <w:p>
            <w:pPr>
              <w:autoSpaceDN w:val="0"/>
              <w:spacing w:line="400" w:lineRule="exact"/>
              <w:ind w:firstLine="120" w:firstLineChars="50"/>
              <w:jc w:val="center"/>
              <w:textAlignment w:val="center"/>
              <w:rPr>
                <w:rFonts w:hint="eastAsia" w:ascii="仿宋_GB2312" w:eastAsia="仿宋_GB2312"/>
                <w:sz w:val="24"/>
              </w:rPr>
            </w:pPr>
            <w:r>
              <w:rPr>
                <w:rFonts w:hint="eastAsia" w:ascii="仿宋_GB2312" w:eastAsia="仿宋_GB2312"/>
                <w:sz w:val="24"/>
              </w:rPr>
              <w:t>全国内河船与水路运输标准化技术委员会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5" w:type="dxa"/>
            <w:bottom w:w="0" w:type="dxa"/>
            <w:right w:w="15" w:type="dxa"/>
          </w:tblCellMar>
        </w:tblPrEx>
        <w:trPr>
          <w:trHeight w:val="424" w:hRule="atLeast"/>
        </w:trPr>
        <w:tc>
          <w:tcPr>
            <w:tcW w:w="846" w:type="dxa"/>
            <w:vAlign w:val="center"/>
          </w:tcPr>
          <w:p>
            <w:pPr>
              <w:autoSpaceDN w:val="0"/>
              <w:spacing w:line="400" w:lineRule="exact"/>
              <w:jc w:val="center"/>
              <w:textAlignment w:val="center"/>
              <w:rPr>
                <w:rFonts w:hint="eastAsia" w:ascii="仿宋_GB2312" w:eastAsia="仿宋_GB2312"/>
                <w:sz w:val="24"/>
              </w:rPr>
            </w:pPr>
            <w:r>
              <w:rPr>
                <w:rFonts w:hint="eastAsia" w:ascii="仿宋_GB2312" w:eastAsia="仿宋_GB2312"/>
                <w:sz w:val="24"/>
              </w:rPr>
              <w:t>3</w:t>
            </w:r>
          </w:p>
        </w:tc>
        <w:tc>
          <w:tcPr>
            <w:tcW w:w="2977" w:type="dxa"/>
            <w:vAlign w:val="center"/>
          </w:tcPr>
          <w:p>
            <w:pPr>
              <w:autoSpaceDN w:val="0"/>
              <w:spacing w:line="400" w:lineRule="exact"/>
              <w:jc w:val="center"/>
              <w:textAlignment w:val="center"/>
              <w:rPr>
                <w:rFonts w:hint="eastAsia" w:ascii="仿宋_GB2312" w:eastAsia="仿宋_GB2312"/>
                <w:sz w:val="24"/>
              </w:rPr>
            </w:pPr>
            <w:r>
              <w:rPr>
                <w:rFonts w:hint="eastAsia" w:ascii="仿宋_GB2312" w:eastAsia="仿宋_GB2312"/>
                <w:sz w:val="24"/>
              </w:rPr>
              <w:t>汽车维修标委会</w:t>
            </w:r>
          </w:p>
        </w:tc>
        <w:tc>
          <w:tcPr>
            <w:tcW w:w="6257" w:type="dxa"/>
            <w:vAlign w:val="center"/>
          </w:tcPr>
          <w:p>
            <w:pPr>
              <w:autoSpaceDN w:val="0"/>
              <w:spacing w:line="400" w:lineRule="exact"/>
              <w:ind w:firstLine="120" w:firstLineChars="50"/>
              <w:jc w:val="center"/>
              <w:textAlignment w:val="center"/>
              <w:rPr>
                <w:rFonts w:hint="eastAsia" w:ascii="仿宋_GB2312" w:eastAsia="仿宋_GB2312"/>
                <w:sz w:val="24"/>
              </w:rPr>
            </w:pPr>
            <w:r>
              <w:rPr>
                <w:rFonts w:hint="eastAsia" w:ascii="仿宋_GB2312" w:eastAsia="仿宋_GB2312"/>
                <w:sz w:val="24"/>
              </w:rPr>
              <w:t>全国汽车维修标准化技术委员会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5" w:type="dxa"/>
            <w:bottom w:w="0" w:type="dxa"/>
            <w:right w:w="15" w:type="dxa"/>
          </w:tblCellMar>
        </w:tblPrEx>
        <w:trPr>
          <w:trHeight w:val="409" w:hRule="atLeast"/>
        </w:trPr>
        <w:tc>
          <w:tcPr>
            <w:tcW w:w="846" w:type="dxa"/>
            <w:vAlign w:val="center"/>
          </w:tcPr>
          <w:p>
            <w:pPr>
              <w:autoSpaceDN w:val="0"/>
              <w:spacing w:line="400" w:lineRule="exact"/>
              <w:jc w:val="center"/>
              <w:textAlignment w:val="center"/>
              <w:rPr>
                <w:rFonts w:hint="eastAsia" w:ascii="仿宋_GB2312" w:eastAsia="仿宋_GB2312"/>
                <w:sz w:val="24"/>
              </w:rPr>
            </w:pPr>
            <w:r>
              <w:rPr>
                <w:rFonts w:hint="eastAsia" w:ascii="仿宋_GB2312" w:eastAsia="仿宋_GB2312"/>
                <w:sz w:val="24"/>
              </w:rPr>
              <w:t>4</w:t>
            </w:r>
          </w:p>
        </w:tc>
        <w:tc>
          <w:tcPr>
            <w:tcW w:w="2977" w:type="dxa"/>
            <w:vAlign w:val="center"/>
          </w:tcPr>
          <w:p>
            <w:pPr>
              <w:autoSpaceDN w:val="0"/>
              <w:spacing w:line="400" w:lineRule="exact"/>
              <w:jc w:val="center"/>
              <w:textAlignment w:val="center"/>
              <w:rPr>
                <w:rFonts w:hint="eastAsia" w:ascii="仿宋_GB2312" w:eastAsia="仿宋_GB2312"/>
                <w:sz w:val="24"/>
              </w:rPr>
            </w:pPr>
            <w:r>
              <w:rPr>
                <w:rFonts w:hint="eastAsia" w:ascii="仿宋_GB2312" w:eastAsia="仿宋_GB2312"/>
                <w:sz w:val="24"/>
              </w:rPr>
              <w:t>智能运输标委会</w:t>
            </w:r>
          </w:p>
        </w:tc>
        <w:tc>
          <w:tcPr>
            <w:tcW w:w="6257" w:type="dxa"/>
            <w:vAlign w:val="center"/>
          </w:tcPr>
          <w:p>
            <w:pPr>
              <w:autoSpaceDN w:val="0"/>
              <w:spacing w:line="400" w:lineRule="exact"/>
              <w:ind w:firstLine="120" w:firstLineChars="50"/>
              <w:jc w:val="center"/>
              <w:textAlignment w:val="center"/>
              <w:rPr>
                <w:rFonts w:hint="eastAsia" w:ascii="仿宋_GB2312" w:eastAsia="仿宋_GB2312"/>
                <w:sz w:val="24"/>
              </w:rPr>
            </w:pPr>
            <w:r>
              <w:rPr>
                <w:rFonts w:hint="eastAsia" w:ascii="仿宋_GB2312" w:eastAsia="仿宋_GB2312"/>
                <w:sz w:val="24"/>
              </w:rPr>
              <w:t>全国智能运输系统标准化技术委员会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5" w:type="dxa"/>
            <w:bottom w:w="0" w:type="dxa"/>
            <w:right w:w="15" w:type="dxa"/>
          </w:tblCellMar>
        </w:tblPrEx>
        <w:trPr>
          <w:trHeight w:val="409" w:hRule="atLeast"/>
        </w:trPr>
        <w:tc>
          <w:tcPr>
            <w:tcW w:w="846" w:type="dxa"/>
            <w:vAlign w:val="center"/>
          </w:tcPr>
          <w:p>
            <w:pPr>
              <w:autoSpaceDN w:val="0"/>
              <w:spacing w:line="400" w:lineRule="exact"/>
              <w:jc w:val="center"/>
              <w:textAlignment w:val="center"/>
              <w:rPr>
                <w:rFonts w:hint="eastAsia" w:ascii="仿宋_GB2312" w:eastAsia="仿宋_GB2312"/>
                <w:sz w:val="24"/>
              </w:rPr>
            </w:pPr>
            <w:r>
              <w:rPr>
                <w:rFonts w:hint="eastAsia" w:ascii="仿宋_GB2312" w:eastAsia="仿宋_GB2312"/>
                <w:sz w:val="24"/>
              </w:rPr>
              <w:t>5</w:t>
            </w:r>
          </w:p>
        </w:tc>
        <w:tc>
          <w:tcPr>
            <w:tcW w:w="2977" w:type="dxa"/>
            <w:vAlign w:val="center"/>
          </w:tcPr>
          <w:p>
            <w:pPr>
              <w:autoSpaceDN w:val="0"/>
              <w:spacing w:line="400" w:lineRule="exact"/>
              <w:jc w:val="center"/>
              <w:textAlignment w:val="center"/>
              <w:rPr>
                <w:rFonts w:hint="eastAsia" w:ascii="仿宋_GB2312" w:eastAsia="仿宋_GB2312"/>
                <w:sz w:val="24"/>
              </w:rPr>
            </w:pPr>
            <w:r>
              <w:rPr>
                <w:rFonts w:hint="eastAsia" w:ascii="仿宋_GB2312" w:eastAsia="仿宋_GB2312"/>
                <w:sz w:val="24"/>
              </w:rPr>
              <w:t>港口标委会</w:t>
            </w:r>
          </w:p>
        </w:tc>
        <w:tc>
          <w:tcPr>
            <w:tcW w:w="6257" w:type="dxa"/>
            <w:vAlign w:val="center"/>
          </w:tcPr>
          <w:p>
            <w:pPr>
              <w:autoSpaceDN w:val="0"/>
              <w:spacing w:line="400" w:lineRule="exact"/>
              <w:ind w:firstLine="120" w:firstLineChars="50"/>
              <w:jc w:val="center"/>
              <w:textAlignment w:val="center"/>
              <w:rPr>
                <w:rFonts w:hint="eastAsia" w:ascii="仿宋_GB2312" w:eastAsia="仿宋_GB2312"/>
                <w:sz w:val="24"/>
              </w:rPr>
            </w:pPr>
            <w:r>
              <w:rPr>
                <w:rFonts w:hint="eastAsia" w:ascii="仿宋_GB2312" w:eastAsia="仿宋_GB2312"/>
                <w:sz w:val="24"/>
              </w:rPr>
              <w:t>全国港口标准化技术委员会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5" w:type="dxa"/>
            <w:bottom w:w="0" w:type="dxa"/>
            <w:right w:w="15" w:type="dxa"/>
          </w:tblCellMar>
        </w:tblPrEx>
        <w:trPr>
          <w:trHeight w:val="379" w:hRule="atLeast"/>
        </w:trPr>
        <w:tc>
          <w:tcPr>
            <w:tcW w:w="846" w:type="dxa"/>
            <w:vAlign w:val="center"/>
          </w:tcPr>
          <w:p>
            <w:pPr>
              <w:autoSpaceDN w:val="0"/>
              <w:spacing w:line="400" w:lineRule="exact"/>
              <w:jc w:val="center"/>
              <w:textAlignment w:val="center"/>
              <w:rPr>
                <w:rFonts w:hint="eastAsia" w:ascii="仿宋_GB2312" w:eastAsia="仿宋_GB2312"/>
                <w:sz w:val="24"/>
              </w:rPr>
            </w:pPr>
            <w:r>
              <w:rPr>
                <w:rFonts w:hint="eastAsia" w:ascii="仿宋_GB2312" w:eastAsia="仿宋_GB2312"/>
                <w:sz w:val="24"/>
              </w:rPr>
              <w:t>6</w:t>
            </w:r>
          </w:p>
        </w:tc>
        <w:tc>
          <w:tcPr>
            <w:tcW w:w="2977" w:type="dxa"/>
            <w:vAlign w:val="center"/>
          </w:tcPr>
          <w:p>
            <w:pPr>
              <w:autoSpaceDN w:val="0"/>
              <w:spacing w:line="400" w:lineRule="exact"/>
              <w:jc w:val="center"/>
              <w:textAlignment w:val="center"/>
              <w:rPr>
                <w:rFonts w:hint="eastAsia" w:ascii="仿宋_GB2312" w:eastAsia="仿宋_GB2312"/>
                <w:sz w:val="24"/>
              </w:rPr>
            </w:pPr>
            <w:r>
              <w:rPr>
                <w:rFonts w:hint="eastAsia" w:ascii="仿宋_GB2312" w:eastAsia="仿宋_GB2312"/>
                <w:sz w:val="24"/>
              </w:rPr>
              <w:t>臂架起重机分委会</w:t>
            </w:r>
          </w:p>
        </w:tc>
        <w:tc>
          <w:tcPr>
            <w:tcW w:w="6257" w:type="dxa"/>
            <w:vAlign w:val="center"/>
          </w:tcPr>
          <w:p>
            <w:pPr>
              <w:autoSpaceDN w:val="0"/>
              <w:spacing w:line="400" w:lineRule="exact"/>
              <w:ind w:firstLine="120" w:firstLineChars="50"/>
              <w:jc w:val="center"/>
              <w:textAlignment w:val="center"/>
              <w:rPr>
                <w:rFonts w:hint="eastAsia" w:ascii="仿宋_GB2312" w:eastAsia="仿宋_GB2312"/>
                <w:sz w:val="24"/>
              </w:rPr>
            </w:pPr>
            <w:r>
              <w:rPr>
                <w:rFonts w:hint="eastAsia" w:ascii="仿宋_GB2312" w:eastAsia="仿宋_GB2312"/>
                <w:sz w:val="24"/>
              </w:rPr>
              <w:t>全国起重机械标准化技术委员会臂架起重机分技术委员会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5" w:type="dxa"/>
            <w:bottom w:w="0" w:type="dxa"/>
            <w:right w:w="15" w:type="dxa"/>
          </w:tblCellMar>
        </w:tblPrEx>
        <w:trPr>
          <w:trHeight w:val="394" w:hRule="atLeast"/>
        </w:trPr>
        <w:tc>
          <w:tcPr>
            <w:tcW w:w="846" w:type="dxa"/>
            <w:vAlign w:val="center"/>
          </w:tcPr>
          <w:p>
            <w:pPr>
              <w:autoSpaceDN w:val="0"/>
              <w:spacing w:line="400" w:lineRule="exact"/>
              <w:jc w:val="center"/>
              <w:textAlignment w:val="center"/>
              <w:rPr>
                <w:rFonts w:hint="eastAsia" w:ascii="仿宋_GB2312" w:eastAsia="仿宋_GB2312"/>
                <w:sz w:val="24"/>
              </w:rPr>
            </w:pPr>
            <w:r>
              <w:rPr>
                <w:rFonts w:hint="eastAsia" w:ascii="仿宋_GB2312" w:eastAsia="仿宋_GB2312"/>
                <w:sz w:val="24"/>
              </w:rPr>
              <w:t>7</w:t>
            </w:r>
          </w:p>
        </w:tc>
        <w:tc>
          <w:tcPr>
            <w:tcW w:w="2977" w:type="dxa"/>
            <w:vAlign w:val="center"/>
          </w:tcPr>
          <w:p>
            <w:pPr>
              <w:autoSpaceDN w:val="0"/>
              <w:spacing w:line="400" w:lineRule="exact"/>
              <w:jc w:val="center"/>
              <w:textAlignment w:val="center"/>
              <w:rPr>
                <w:rFonts w:hint="eastAsia" w:ascii="仿宋_GB2312" w:eastAsia="仿宋_GB2312"/>
                <w:sz w:val="24"/>
              </w:rPr>
            </w:pPr>
            <w:r>
              <w:rPr>
                <w:rFonts w:hint="eastAsia" w:ascii="仿宋_GB2312" w:eastAsia="仿宋_GB2312"/>
                <w:sz w:val="24"/>
              </w:rPr>
              <w:t>航测标委会</w:t>
            </w:r>
          </w:p>
        </w:tc>
        <w:tc>
          <w:tcPr>
            <w:tcW w:w="6257" w:type="dxa"/>
            <w:vAlign w:val="center"/>
          </w:tcPr>
          <w:p>
            <w:pPr>
              <w:autoSpaceDN w:val="0"/>
              <w:spacing w:line="400" w:lineRule="exact"/>
              <w:ind w:firstLine="120" w:firstLineChars="50"/>
              <w:jc w:val="center"/>
              <w:textAlignment w:val="center"/>
              <w:rPr>
                <w:rFonts w:hint="eastAsia" w:ascii="仿宋_GB2312" w:eastAsia="仿宋_GB2312"/>
                <w:sz w:val="24"/>
              </w:rPr>
            </w:pPr>
            <w:r>
              <w:rPr>
                <w:rFonts w:hint="eastAsia" w:ascii="仿宋_GB2312" w:eastAsia="仿宋_GB2312"/>
                <w:sz w:val="24"/>
              </w:rPr>
              <w:t>交通运输航测标准化技术委员会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5" w:type="dxa"/>
            <w:bottom w:w="0" w:type="dxa"/>
            <w:right w:w="15" w:type="dxa"/>
          </w:tblCellMar>
        </w:tblPrEx>
        <w:trPr>
          <w:trHeight w:val="394" w:hRule="atLeast"/>
        </w:trPr>
        <w:tc>
          <w:tcPr>
            <w:tcW w:w="846" w:type="dxa"/>
            <w:vAlign w:val="center"/>
          </w:tcPr>
          <w:p>
            <w:pPr>
              <w:autoSpaceDN w:val="0"/>
              <w:spacing w:line="400" w:lineRule="exact"/>
              <w:jc w:val="center"/>
              <w:textAlignment w:val="center"/>
              <w:rPr>
                <w:rFonts w:hint="eastAsia" w:ascii="仿宋_GB2312" w:eastAsia="仿宋_GB2312"/>
                <w:sz w:val="24"/>
              </w:rPr>
            </w:pPr>
            <w:r>
              <w:rPr>
                <w:rFonts w:hint="eastAsia" w:ascii="仿宋_GB2312" w:eastAsia="仿宋_GB2312"/>
                <w:sz w:val="24"/>
              </w:rPr>
              <w:t>8</w:t>
            </w:r>
          </w:p>
        </w:tc>
        <w:tc>
          <w:tcPr>
            <w:tcW w:w="2977" w:type="dxa"/>
            <w:vAlign w:val="center"/>
          </w:tcPr>
          <w:p>
            <w:pPr>
              <w:autoSpaceDN w:val="0"/>
              <w:spacing w:line="400" w:lineRule="exact"/>
              <w:jc w:val="center"/>
              <w:textAlignment w:val="center"/>
              <w:rPr>
                <w:rFonts w:hint="eastAsia" w:ascii="仿宋_GB2312" w:eastAsia="仿宋_GB2312"/>
                <w:sz w:val="24"/>
              </w:rPr>
            </w:pPr>
            <w:r>
              <w:rPr>
                <w:rFonts w:hint="eastAsia" w:ascii="仿宋_GB2312" w:eastAsia="仿宋_GB2312"/>
                <w:sz w:val="24"/>
              </w:rPr>
              <w:t>信息通导标委会</w:t>
            </w:r>
          </w:p>
        </w:tc>
        <w:tc>
          <w:tcPr>
            <w:tcW w:w="6257" w:type="dxa"/>
            <w:vAlign w:val="center"/>
          </w:tcPr>
          <w:p>
            <w:pPr>
              <w:autoSpaceDN w:val="0"/>
              <w:spacing w:line="400" w:lineRule="exact"/>
              <w:ind w:firstLine="120" w:firstLineChars="50"/>
              <w:jc w:val="center"/>
              <w:textAlignment w:val="center"/>
              <w:rPr>
                <w:rFonts w:hint="eastAsia" w:ascii="仿宋_GB2312" w:eastAsia="仿宋_GB2312"/>
                <w:sz w:val="24"/>
              </w:rPr>
            </w:pPr>
            <w:r>
              <w:rPr>
                <w:rFonts w:hint="eastAsia" w:ascii="仿宋_GB2312" w:eastAsia="仿宋_GB2312"/>
                <w:sz w:val="24"/>
              </w:rPr>
              <w:t>交通运输信息通信及导航标准化技术委员会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5" w:type="dxa"/>
            <w:bottom w:w="0" w:type="dxa"/>
            <w:right w:w="15" w:type="dxa"/>
          </w:tblCellMar>
        </w:tblPrEx>
        <w:trPr>
          <w:trHeight w:val="424" w:hRule="atLeast"/>
        </w:trPr>
        <w:tc>
          <w:tcPr>
            <w:tcW w:w="846" w:type="dxa"/>
            <w:vAlign w:val="center"/>
          </w:tcPr>
          <w:p>
            <w:pPr>
              <w:autoSpaceDN w:val="0"/>
              <w:spacing w:line="400" w:lineRule="exact"/>
              <w:jc w:val="center"/>
              <w:textAlignment w:val="center"/>
              <w:rPr>
                <w:rFonts w:hint="eastAsia" w:ascii="仿宋_GB2312" w:eastAsia="仿宋_GB2312"/>
                <w:sz w:val="24"/>
              </w:rPr>
            </w:pPr>
            <w:r>
              <w:rPr>
                <w:rFonts w:hint="eastAsia" w:ascii="仿宋_GB2312" w:eastAsia="仿宋_GB2312"/>
                <w:sz w:val="24"/>
              </w:rPr>
              <w:t>9</w:t>
            </w:r>
          </w:p>
        </w:tc>
        <w:tc>
          <w:tcPr>
            <w:tcW w:w="2977" w:type="dxa"/>
            <w:vAlign w:val="center"/>
          </w:tcPr>
          <w:p>
            <w:pPr>
              <w:autoSpaceDN w:val="0"/>
              <w:spacing w:line="400" w:lineRule="exact"/>
              <w:jc w:val="center"/>
              <w:textAlignment w:val="center"/>
              <w:rPr>
                <w:rFonts w:hint="eastAsia" w:ascii="仿宋_GB2312" w:eastAsia="仿宋_GB2312"/>
                <w:sz w:val="24"/>
              </w:rPr>
            </w:pPr>
            <w:r>
              <w:rPr>
                <w:rFonts w:hint="eastAsia" w:ascii="仿宋_GB2312" w:eastAsia="仿宋_GB2312"/>
                <w:sz w:val="24"/>
              </w:rPr>
              <w:t>环境保护标委会</w:t>
            </w:r>
          </w:p>
        </w:tc>
        <w:tc>
          <w:tcPr>
            <w:tcW w:w="6257" w:type="dxa"/>
            <w:vAlign w:val="center"/>
          </w:tcPr>
          <w:p>
            <w:pPr>
              <w:autoSpaceDN w:val="0"/>
              <w:spacing w:line="400" w:lineRule="exact"/>
              <w:ind w:firstLine="120" w:firstLineChars="50"/>
              <w:jc w:val="center"/>
              <w:textAlignment w:val="center"/>
              <w:rPr>
                <w:rFonts w:hint="eastAsia" w:ascii="仿宋_GB2312" w:eastAsia="仿宋_GB2312"/>
                <w:sz w:val="24"/>
              </w:rPr>
            </w:pPr>
            <w:r>
              <w:rPr>
                <w:rFonts w:hint="eastAsia" w:ascii="仿宋_GB2312" w:eastAsia="仿宋_GB2312"/>
                <w:sz w:val="24"/>
              </w:rPr>
              <w:t>交通运输环境保护标准化技术委员会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5" w:type="dxa"/>
            <w:bottom w:w="0" w:type="dxa"/>
            <w:right w:w="15" w:type="dxa"/>
          </w:tblCellMar>
        </w:tblPrEx>
        <w:trPr>
          <w:trHeight w:val="394" w:hRule="atLeast"/>
        </w:trPr>
        <w:tc>
          <w:tcPr>
            <w:tcW w:w="846" w:type="dxa"/>
            <w:vAlign w:val="center"/>
          </w:tcPr>
          <w:p>
            <w:pPr>
              <w:autoSpaceDN w:val="0"/>
              <w:spacing w:line="400" w:lineRule="exact"/>
              <w:jc w:val="center"/>
              <w:textAlignment w:val="center"/>
              <w:rPr>
                <w:rFonts w:hint="eastAsia" w:ascii="仿宋_GB2312" w:eastAsia="仿宋_GB2312"/>
                <w:sz w:val="24"/>
              </w:rPr>
            </w:pPr>
            <w:r>
              <w:rPr>
                <w:rFonts w:hint="eastAsia" w:ascii="仿宋_GB2312" w:eastAsia="仿宋_GB2312"/>
                <w:sz w:val="24"/>
              </w:rPr>
              <w:t>10</w:t>
            </w:r>
          </w:p>
        </w:tc>
        <w:tc>
          <w:tcPr>
            <w:tcW w:w="2977" w:type="dxa"/>
            <w:vAlign w:val="center"/>
          </w:tcPr>
          <w:p>
            <w:pPr>
              <w:autoSpaceDN w:val="0"/>
              <w:spacing w:line="400" w:lineRule="exact"/>
              <w:jc w:val="center"/>
              <w:textAlignment w:val="center"/>
              <w:rPr>
                <w:rFonts w:hint="eastAsia" w:ascii="仿宋_GB2312" w:eastAsia="仿宋_GB2312"/>
                <w:sz w:val="24"/>
              </w:rPr>
            </w:pPr>
            <w:r>
              <w:rPr>
                <w:rFonts w:hint="eastAsia" w:ascii="仿宋_GB2312" w:eastAsia="仿宋_GB2312"/>
                <w:sz w:val="24"/>
              </w:rPr>
              <w:t>公路计量委员会</w:t>
            </w:r>
          </w:p>
        </w:tc>
        <w:tc>
          <w:tcPr>
            <w:tcW w:w="6257" w:type="dxa"/>
            <w:vAlign w:val="center"/>
          </w:tcPr>
          <w:p>
            <w:pPr>
              <w:autoSpaceDN w:val="0"/>
              <w:spacing w:line="400" w:lineRule="exact"/>
              <w:ind w:firstLine="120" w:firstLineChars="50"/>
              <w:jc w:val="center"/>
              <w:textAlignment w:val="center"/>
              <w:rPr>
                <w:rFonts w:hint="eastAsia" w:ascii="仿宋_GB2312" w:eastAsia="仿宋_GB2312"/>
                <w:sz w:val="24"/>
              </w:rPr>
            </w:pPr>
            <w:r>
              <w:rPr>
                <w:rFonts w:hint="eastAsia" w:ascii="仿宋_GB2312" w:eastAsia="仿宋_GB2312"/>
                <w:sz w:val="24"/>
              </w:rPr>
              <w:t>全国公路专用计量器具计量技术委员会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5" w:type="dxa"/>
            <w:bottom w:w="0" w:type="dxa"/>
            <w:right w:w="15" w:type="dxa"/>
          </w:tblCellMar>
        </w:tblPrEx>
        <w:trPr>
          <w:trHeight w:val="394" w:hRule="atLeast"/>
        </w:trPr>
        <w:tc>
          <w:tcPr>
            <w:tcW w:w="846" w:type="dxa"/>
            <w:vAlign w:val="center"/>
          </w:tcPr>
          <w:p>
            <w:pPr>
              <w:autoSpaceDN w:val="0"/>
              <w:spacing w:line="400" w:lineRule="exact"/>
              <w:jc w:val="center"/>
              <w:textAlignment w:val="center"/>
              <w:rPr>
                <w:rFonts w:hint="eastAsia" w:ascii="仿宋_GB2312" w:eastAsia="仿宋_GB2312"/>
                <w:sz w:val="24"/>
              </w:rPr>
            </w:pPr>
            <w:r>
              <w:rPr>
                <w:rFonts w:hint="eastAsia" w:ascii="仿宋_GB2312" w:eastAsia="仿宋_GB2312"/>
                <w:sz w:val="24"/>
              </w:rPr>
              <w:t>11</w:t>
            </w:r>
          </w:p>
        </w:tc>
        <w:tc>
          <w:tcPr>
            <w:tcW w:w="2977" w:type="dxa"/>
            <w:vAlign w:val="center"/>
          </w:tcPr>
          <w:p>
            <w:pPr>
              <w:autoSpaceDN w:val="0"/>
              <w:spacing w:line="400" w:lineRule="exact"/>
              <w:jc w:val="center"/>
              <w:textAlignment w:val="center"/>
              <w:rPr>
                <w:rFonts w:hint="eastAsia" w:ascii="仿宋_GB2312" w:eastAsia="仿宋_GB2312"/>
                <w:sz w:val="24"/>
              </w:rPr>
            </w:pPr>
            <w:r>
              <w:rPr>
                <w:rFonts w:hint="eastAsia" w:ascii="仿宋_GB2312" w:eastAsia="仿宋_GB2312"/>
                <w:sz w:val="24"/>
              </w:rPr>
              <w:t>水运计量委员会</w:t>
            </w:r>
          </w:p>
        </w:tc>
        <w:tc>
          <w:tcPr>
            <w:tcW w:w="6257" w:type="dxa"/>
            <w:vAlign w:val="center"/>
          </w:tcPr>
          <w:p>
            <w:pPr>
              <w:autoSpaceDN w:val="0"/>
              <w:spacing w:line="400" w:lineRule="exact"/>
              <w:ind w:firstLine="120" w:firstLineChars="50"/>
              <w:jc w:val="center"/>
              <w:textAlignment w:val="center"/>
              <w:rPr>
                <w:rFonts w:hint="eastAsia" w:ascii="仿宋_GB2312" w:eastAsia="仿宋_GB2312"/>
                <w:sz w:val="24"/>
              </w:rPr>
            </w:pPr>
            <w:r>
              <w:rPr>
                <w:rFonts w:hint="eastAsia" w:ascii="仿宋_GB2312" w:eastAsia="仿宋_GB2312"/>
                <w:sz w:val="24"/>
              </w:rPr>
              <w:t>全国水运专用计量器具计量技术委员会</w:t>
            </w:r>
          </w:p>
        </w:tc>
      </w:tr>
    </w:tbl>
    <w:p>
      <w:pPr>
        <w:widowControl/>
        <w:jc w:val="left"/>
        <w:rPr>
          <w:rFonts w:ascii="Times New Roman" w:hAnsi="Times New Roman" w:eastAsia="仿宋_GB2312" w:cs="Times New Roman"/>
          <w:sz w:val="32"/>
          <w:szCs w:val="32"/>
        </w:rPr>
      </w:pPr>
    </w:p>
    <w:sectPr>
      <w:pgSz w:w="11906" w:h="16838"/>
      <w:pgMar w:top="851" w:right="850" w:bottom="851" w:left="850" w:header="851" w:footer="992" w:gutter="0"/>
      <w:cols w:space="0" w:num="1"/>
      <w:docGrid w:linePitch="326"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方正书宋_GBK"/>
    <w:panose1 w:val="00000000000000000000"/>
    <w:charset w:val="86"/>
    <w:family w:val="auto"/>
    <w:pitch w:val="default"/>
    <w:sig w:usb0="00000000" w:usb1="00000000" w:usb2="00000000" w:usb3="00000000" w:csb0="00000000" w:csb1="00000000"/>
  </w:font>
  <w:font w:name="Wingdings">
    <w:altName w:val="Standard Symbols PS"/>
    <w:panose1 w:val="05000000000000000000"/>
    <w:charset w:val="02"/>
    <w:family w:val="auto"/>
    <w:pitch w:val="default"/>
    <w:sig w:usb0="00000000" w:usb1="00000000" w:usb2="00000000" w:usb3="00000000" w:csb0="80000000" w:csb1="00000000"/>
  </w:font>
  <w:font w:name="Arial">
    <w:altName w:val="Times New Roman"/>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Standard Symbols PS"/>
    <w:panose1 w:val="05050102010706020507"/>
    <w:charset w:val="02"/>
    <w:family w:val="roman"/>
    <w:pitch w:val="default"/>
    <w:sig w:usb0="00000000" w:usb1="00000000" w:usb2="00000000" w:usb3="00000000" w:csb0="80000000" w:csb1="00000000"/>
  </w:font>
  <w:font w:name="Calibri">
    <w:altName w:val="DejaVu Sans"/>
    <w:panose1 w:val="020F0502020204030204"/>
    <w:charset w:val="00"/>
    <w:family w:val="swiss"/>
    <w:pitch w:val="default"/>
    <w:sig w:usb0="00000000" w:usb1="00000000" w:usb2="00000001" w:usb3="00000000" w:csb0="0000019F" w:csb1="00000000"/>
  </w:font>
  <w:font w:name="等线">
    <w:altName w:val="华文仿宋"/>
    <w:panose1 w:val="02010600030101010101"/>
    <w:charset w:val="86"/>
    <w:family w:val="auto"/>
    <w:pitch w:val="default"/>
    <w:sig w:usb0="00000000" w:usb1="00000000" w:usb2="00000016" w:usb3="00000000" w:csb0="0004000F" w:csb1="00000000"/>
  </w:font>
  <w:font w:name="仿宋_GB2312">
    <w:altName w:val="方正仿宋_GBK"/>
    <w:panose1 w:val="02010609030101010101"/>
    <w:charset w:val="86"/>
    <w:family w:val="modern"/>
    <w:pitch w:val="default"/>
    <w:sig w:usb0="00000000" w:usb1="00000000" w:usb2="00000010" w:usb3="00000000" w:csb0="00040000" w:csb1="00000000"/>
  </w:font>
  <w:font w:name="方正小标宋简体">
    <w:panose1 w:val="02000000000000000000"/>
    <w:charset w:val="86"/>
    <w:family w:val="script"/>
    <w:pitch w:val="default"/>
    <w:sig w:usb0="A00002BF" w:usb1="184F6CFA" w:usb2="00000012" w:usb3="00000000" w:csb0="00040001" w:csb1="00000000"/>
  </w:font>
  <w:font w:name="微软雅黑">
    <w:altName w:val="方正黑体_GBK"/>
    <w:panose1 w:val="020B0503020204020204"/>
    <w:charset w:val="86"/>
    <w:family w:val="swiss"/>
    <w:pitch w:val="default"/>
    <w:sig w:usb0="00000000" w:usb1="00000000" w:usb2="00000016" w:usb3="00000000" w:csb0="0004001F" w:csb1="00000000"/>
  </w:font>
  <w:font w:name="CESI仿宋-GB2312">
    <w:panose1 w:val="02000500000000000000"/>
    <w:charset w:val="86"/>
    <w:family w:val="auto"/>
    <w:pitch w:val="default"/>
    <w:sig w:usb0="800002AF" w:usb1="084F6CF8" w:usb2="00000010" w:usb3="00000000" w:csb0="0004000F" w:csb1="00000000"/>
  </w:font>
  <w:font w:name="方正书宋_GBK">
    <w:panose1 w:val="02000000000000000000"/>
    <w:charset w:val="86"/>
    <w:family w:val="auto"/>
    <w:pitch w:val="default"/>
    <w:sig w:usb0="00000001" w:usb1="08000000" w:usb2="00000000" w:usb3="00000000" w:csb0="00040000" w:csb1="00000000"/>
  </w:font>
  <w:font w:name="等线">
    <w:altName w:val="URW Bookman"/>
    <w:panose1 w:val="00000000000000000000"/>
    <w:charset w:val="00"/>
    <w:family w:val="auto"/>
    <w:pitch w:val="default"/>
    <w:sig w:usb0="00000000" w:usb1="00000000" w:usb2="00000000" w:usb3="00000000" w:csb0="00000000" w:csb1="00000000"/>
  </w:font>
  <w:font w:name="URW Bookman">
    <w:panose1 w:val="00000400000000000000"/>
    <w:charset w:val="00"/>
    <w:family w:val="auto"/>
    <w:pitch w:val="default"/>
    <w:sig w:usb0="00000287" w:usb1="00000800" w:usb2="00000000" w:usb3="00000000" w:csb0="6000009F" w:csb1="00000000"/>
  </w:font>
  <w:font w:name="Noto Sans Symbols2">
    <w:panose1 w:val="020B0502040504020204"/>
    <w:charset w:val="00"/>
    <w:family w:val="auto"/>
    <w:pitch w:val="default"/>
    <w:sig w:usb0="80000003" w:usb1="0200E3E4" w:usb2="00040020" w:usb3="0580A048" w:csb0="00000001" w:csb1="00000000"/>
  </w:font>
  <w:font w:name="Liberation Serif">
    <w:panose1 w:val="02020603050405020304"/>
    <w:charset w:val="00"/>
    <w:family w:val="auto"/>
    <w:pitch w:val="default"/>
    <w:sig w:usb0="A00002AF" w:usb1="500078FB" w:usb2="00000000" w:usb3="00000000" w:csb0="6000009F" w:csb1="DFD70000"/>
  </w:font>
  <w:font w:name="方正仿宋_GBK">
    <w:panose1 w:val="02000000000000000000"/>
    <w:charset w:val="86"/>
    <w:family w:val="auto"/>
    <w:pitch w:val="default"/>
    <w:sig w:usb0="00000001" w:usb1="08000000" w:usb2="00000000" w:usb3="00000000" w:csb0="00040000" w:csb1="00000000"/>
  </w:font>
  <w:font w:name="方正黑体_GBK">
    <w:panose1 w:val="02000000000000000000"/>
    <w:charset w:val="86"/>
    <w:family w:val="auto"/>
    <w:pitch w:val="default"/>
    <w:sig w:usb0="00000001" w:usb1="08000000" w:usb2="00000000" w:usb3="00000000" w:csb0="00040000" w:csb1="00000000"/>
  </w:font>
  <w:font w:name="DejaVu Sans">
    <w:panose1 w:val="020B0603030804020204"/>
    <w:charset w:val="00"/>
    <w:family w:val="auto"/>
    <w:pitch w:val="default"/>
    <w:sig w:usb0="E7006EFF" w:usb1="D200FDFF" w:usb2="0A246029" w:usb3="0400200C" w:csb0="600001FF" w:csb1="DFFF0000"/>
  </w:font>
  <w:font w:name="Standard Symbols PS">
    <w:panose1 w:val="05050102010706020507"/>
    <w:charset w:val="00"/>
    <w:family w:val="auto"/>
    <w:pitch w:val="default"/>
    <w:sig w:usb0="00000003" w:usb1="00000000" w:usb2="00000000" w:usb3="00000000" w:csb0="00000001" w:csb1="00000000"/>
  </w:font>
  <w:font w:name="华文仿宋">
    <w:panose1 w:val="02010600040101010101"/>
    <w:charset w:val="86"/>
    <w:family w:val="auto"/>
    <w:pitch w:val="default"/>
    <w:sig w:usb0="00000287" w:usb1="080F0000" w:usb2="00000000" w:usb3="00000000" w:csb0="0004009F" w:csb1="DFD7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805764318"/>
    </w:sdtPr>
    <w:sdtContent>
      <w:p>
        <w:pPr>
          <w:pStyle w:val="5"/>
          <w:jc w:val="center"/>
          <w:rPr>
            <w:rFonts w:hint="eastAsia"/>
          </w:rPr>
        </w:pPr>
        <w:r>
          <w:fldChar w:fldCharType="begin"/>
        </w:r>
        <w:r>
          <w:instrText xml:space="preserve">PAGE   \* MERGEFORMAT</w:instrText>
        </w:r>
        <w:r>
          <w:fldChar w:fldCharType="separate"/>
        </w:r>
        <w:r>
          <w:rPr>
            <w:lang w:val="zh-CN"/>
          </w:rPr>
          <w:t>1</w:t>
        </w:r>
        <w:r>
          <w:rPr>
            <w:lang w:val="zh-CN"/>
          </w:rPr>
          <w:fldChar w:fldCharType="end"/>
        </w:r>
      </w:p>
    </w:sdtContent>
  </w:sdt>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Bdr>
        <w:bottom w:val="none" w:color="auto" w:sz="0" w:space="1"/>
      </w:pBdr>
      <w:rPr>
        <w:rFonts w:hint="eastAsia"/>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351F3648"/>
    <w:multiLevelType w:val="multilevel"/>
    <w:tmpl w:val="351F3648"/>
    <w:lvl w:ilvl="0" w:tentative="0">
      <w:start w:val="1"/>
      <w:numFmt w:val="decimal"/>
      <w:lvlText w:val="%1"/>
      <w:lvlJc w:val="left"/>
      <w:pPr>
        <w:ind w:left="440" w:hanging="440"/>
      </w:pPr>
      <w:rPr>
        <w:rFonts w:hint="eastAsia" w:eastAsia="微软雅黑"/>
      </w:rPr>
    </w:lvl>
    <w:lvl w:ilvl="1" w:tentative="0">
      <w:start w:val="1"/>
      <w:numFmt w:val="lowerLetter"/>
      <w:lvlText w:val="%2)"/>
      <w:lvlJc w:val="left"/>
      <w:pPr>
        <w:ind w:left="880" w:hanging="440"/>
      </w:pPr>
    </w:lvl>
    <w:lvl w:ilvl="2" w:tentative="0">
      <w:start w:val="1"/>
      <w:numFmt w:val="lowerRoman"/>
      <w:lvlText w:val="%3."/>
      <w:lvlJc w:val="right"/>
      <w:pPr>
        <w:ind w:left="1320" w:hanging="440"/>
      </w:pPr>
    </w:lvl>
    <w:lvl w:ilvl="3" w:tentative="0">
      <w:start w:val="1"/>
      <w:numFmt w:val="decimal"/>
      <w:lvlText w:val="%4."/>
      <w:lvlJc w:val="left"/>
      <w:pPr>
        <w:ind w:left="1760" w:hanging="440"/>
      </w:pPr>
    </w:lvl>
    <w:lvl w:ilvl="4" w:tentative="0">
      <w:start w:val="1"/>
      <w:numFmt w:val="lowerLetter"/>
      <w:lvlText w:val="%5)"/>
      <w:lvlJc w:val="left"/>
      <w:pPr>
        <w:ind w:left="2200" w:hanging="440"/>
      </w:pPr>
    </w:lvl>
    <w:lvl w:ilvl="5" w:tentative="0">
      <w:start w:val="1"/>
      <w:numFmt w:val="lowerRoman"/>
      <w:lvlText w:val="%6."/>
      <w:lvlJc w:val="right"/>
      <w:pPr>
        <w:ind w:left="2640" w:hanging="440"/>
      </w:pPr>
    </w:lvl>
    <w:lvl w:ilvl="6" w:tentative="0">
      <w:start w:val="1"/>
      <w:numFmt w:val="decimal"/>
      <w:lvlText w:val="%7."/>
      <w:lvlJc w:val="left"/>
      <w:pPr>
        <w:ind w:left="3080" w:hanging="440"/>
      </w:pPr>
    </w:lvl>
    <w:lvl w:ilvl="7" w:tentative="0">
      <w:start w:val="1"/>
      <w:numFmt w:val="lowerLetter"/>
      <w:lvlText w:val="%8)"/>
      <w:lvlJc w:val="left"/>
      <w:pPr>
        <w:ind w:left="3520" w:hanging="440"/>
      </w:pPr>
    </w:lvl>
    <w:lvl w:ilvl="8" w:tentative="0">
      <w:start w:val="1"/>
      <w:numFmt w:val="lowerRoman"/>
      <w:lvlText w:val="%9."/>
      <w:lvlJc w:val="right"/>
      <w:pPr>
        <w:ind w:left="3960" w:hanging="44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70"/>
  <w:bordersDoNotSurroundHeader w:val="true"/>
  <w:bordersDoNotSurroundFooter w:val="true"/>
  <w:documentProtection w:enforcement="0"/>
  <w:defaultTabStop w:val="420"/>
  <w:drawingGridHorizontalSpacing w:val="105"/>
  <w:drawingGridVerticalSpacing w:val="163"/>
  <w:noPunctuationKerning w:val="true"/>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ODczMjlmZWNmZWUxZTQxNjRkMGRiNzU4YWU0OTY1MDEifQ=="/>
  </w:docVars>
  <w:rsids>
    <w:rsidRoot w:val="005933E3"/>
    <w:rsid w:val="0000314B"/>
    <w:rsid w:val="00003981"/>
    <w:rsid w:val="000119B5"/>
    <w:rsid w:val="000135D4"/>
    <w:rsid w:val="0001368C"/>
    <w:rsid w:val="000155EB"/>
    <w:rsid w:val="00023F02"/>
    <w:rsid w:val="00030311"/>
    <w:rsid w:val="00030FE2"/>
    <w:rsid w:val="00032283"/>
    <w:rsid w:val="00033557"/>
    <w:rsid w:val="00042221"/>
    <w:rsid w:val="00042263"/>
    <w:rsid w:val="00043F0E"/>
    <w:rsid w:val="00043F1B"/>
    <w:rsid w:val="00044785"/>
    <w:rsid w:val="0005261A"/>
    <w:rsid w:val="00056BF1"/>
    <w:rsid w:val="000620A4"/>
    <w:rsid w:val="00065F78"/>
    <w:rsid w:val="000670B7"/>
    <w:rsid w:val="0008398A"/>
    <w:rsid w:val="0008626D"/>
    <w:rsid w:val="00093CA6"/>
    <w:rsid w:val="00094560"/>
    <w:rsid w:val="000A091F"/>
    <w:rsid w:val="000A3135"/>
    <w:rsid w:val="000A6851"/>
    <w:rsid w:val="000B0A0D"/>
    <w:rsid w:val="000D1648"/>
    <w:rsid w:val="000D6B5D"/>
    <w:rsid w:val="000E61B1"/>
    <w:rsid w:val="000E6711"/>
    <w:rsid w:val="000E7068"/>
    <w:rsid w:val="000F6169"/>
    <w:rsid w:val="00101255"/>
    <w:rsid w:val="0010666C"/>
    <w:rsid w:val="001167C8"/>
    <w:rsid w:val="00117C89"/>
    <w:rsid w:val="0012447B"/>
    <w:rsid w:val="001272D3"/>
    <w:rsid w:val="00145984"/>
    <w:rsid w:val="00151BAB"/>
    <w:rsid w:val="00155450"/>
    <w:rsid w:val="001659B5"/>
    <w:rsid w:val="0017125C"/>
    <w:rsid w:val="00171FD9"/>
    <w:rsid w:val="00173468"/>
    <w:rsid w:val="00180E0C"/>
    <w:rsid w:val="001946E7"/>
    <w:rsid w:val="00195B9F"/>
    <w:rsid w:val="00195F9F"/>
    <w:rsid w:val="001A0F15"/>
    <w:rsid w:val="001A2AFF"/>
    <w:rsid w:val="001B2149"/>
    <w:rsid w:val="001B574C"/>
    <w:rsid w:val="001C1B10"/>
    <w:rsid w:val="001C2838"/>
    <w:rsid w:val="001D7FDB"/>
    <w:rsid w:val="001E4D70"/>
    <w:rsid w:val="001F0A5A"/>
    <w:rsid w:val="001F3127"/>
    <w:rsid w:val="001F52A5"/>
    <w:rsid w:val="0020350A"/>
    <w:rsid w:val="00203592"/>
    <w:rsid w:val="002102EE"/>
    <w:rsid w:val="00211F23"/>
    <w:rsid w:val="00220F3B"/>
    <w:rsid w:val="00221560"/>
    <w:rsid w:val="00225BA1"/>
    <w:rsid w:val="00232EC4"/>
    <w:rsid w:val="002335EB"/>
    <w:rsid w:val="00234A31"/>
    <w:rsid w:val="00242316"/>
    <w:rsid w:val="00244D08"/>
    <w:rsid w:val="0024644A"/>
    <w:rsid w:val="0025203F"/>
    <w:rsid w:val="002524F2"/>
    <w:rsid w:val="002541DE"/>
    <w:rsid w:val="00254702"/>
    <w:rsid w:val="00264133"/>
    <w:rsid w:val="002651F7"/>
    <w:rsid w:val="00267F81"/>
    <w:rsid w:val="002755AF"/>
    <w:rsid w:val="00286E67"/>
    <w:rsid w:val="00293A3F"/>
    <w:rsid w:val="002971CD"/>
    <w:rsid w:val="00297ABD"/>
    <w:rsid w:val="002B028E"/>
    <w:rsid w:val="002B2BD2"/>
    <w:rsid w:val="002C7367"/>
    <w:rsid w:val="002D14B9"/>
    <w:rsid w:val="002E0C59"/>
    <w:rsid w:val="002F64AC"/>
    <w:rsid w:val="002F7D97"/>
    <w:rsid w:val="003026FC"/>
    <w:rsid w:val="003054D0"/>
    <w:rsid w:val="00310A48"/>
    <w:rsid w:val="00317B80"/>
    <w:rsid w:val="00317E4D"/>
    <w:rsid w:val="0032034F"/>
    <w:rsid w:val="003215F0"/>
    <w:rsid w:val="00324589"/>
    <w:rsid w:val="00325D6D"/>
    <w:rsid w:val="003304FB"/>
    <w:rsid w:val="00333016"/>
    <w:rsid w:val="00357939"/>
    <w:rsid w:val="003579ED"/>
    <w:rsid w:val="00363ED8"/>
    <w:rsid w:val="003677CA"/>
    <w:rsid w:val="00372BB8"/>
    <w:rsid w:val="00375165"/>
    <w:rsid w:val="00377AB1"/>
    <w:rsid w:val="00381106"/>
    <w:rsid w:val="0038658B"/>
    <w:rsid w:val="003976E3"/>
    <w:rsid w:val="003A334F"/>
    <w:rsid w:val="003B2421"/>
    <w:rsid w:val="003B341A"/>
    <w:rsid w:val="003B3C6A"/>
    <w:rsid w:val="003B565F"/>
    <w:rsid w:val="003C3AA4"/>
    <w:rsid w:val="003D02AF"/>
    <w:rsid w:val="003D087C"/>
    <w:rsid w:val="003E3D24"/>
    <w:rsid w:val="003E5250"/>
    <w:rsid w:val="003E6A97"/>
    <w:rsid w:val="003E72B6"/>
    <w:rsid w:val="003E7F9D"/>
    <w:rsid w:val="004039E1"/>
    <w:rsid w:val="00431436"/>
    <w:rsid w:val="00435ACA"/>
    <w:rsid w:val="00436A6B"/>
    <w:rsid w:val="004400CA"/>
    <w:rsid w:val="0044113D"/>
    <w:rsid w:val="00447719"/>
    <w:rsid w:val="004522E8"/>
    <w:rsid w:val="004539CC"/>
    <w:rsid w:val="004542B1"/>
    <w:rsid w:val="004554F2"/>
    <w:rsid w:val="00456A15"/>
    <w:rsid w:val="00461183"/>
    <w:rsid w:val="004616AD"/>
    <w:rsid w:val="0046634C"/>
    <w:rsid w:val="004729CC"/>
    <w:rsid w:val="00474FC8"/>
    <w:rsid w:val="004834FB"/>
    <w:rsid w:val="004909B0"/>
    <w:rsid w:val="00495ED1"/>
    <w:rsid w:val="004B22C8"/>
    <w:rsid w:val="004B4FEB"/>
    <w:rsid w:val="004C583C"/>
    <w:rsid w:val="004C61DA"/>
    <w:rsid w:val="004E013C"/>
    <w:rsid w:val="004E3C4D"/>
    <w:rsid w:val="004E467B"/>
    <w:rsid w:val="004E49FA"/>
    <w:rsid w:val="004E506B"/>
    <w:rsid w:val="004E647A"/>
    <w:rsid w:val="004F096F"/>
    <w:rsid w:val="0050185A"/>
    <w:rsid w:val="00507EC0"/>
    <w:rsid w:val="00511A79"/>
    <w:rsid w:val="00515DD3"/>
    <w:rsid w:val="005235BE"/>
    <w:rsid w:val="00523F6B"/>
    <w:rsid w:val="00524945"/>
    <w:rsid w:val="0052682C"/>
    <w:rsid w:val="005273C3"/>
    <w:rsid w:val="0054368D"/>
    <w:rsid w:val="00543D9A"/>
    <w:rsid w:val="00556FC3"/>
    <w:rsid w:val="00562F46"/>
    <w:rsid w:val="00565D62"/>
    <w:rsid w:val="00566285"/>
    <w:rsid w:val="00567199"/>
    <w:rsid w:val="00571676"/>
    <w:rsid w:val="00574FD5"/>
    <w:rsid w:val="0057637F"/>
    <w:rsid w:val="0058544A"/>
    <w:rsid w:val="00591D16"/>
    <w:rsid w:val="00592540"/>
    <w:rsid w:val="005926E8"/>
    <w:rsid w:val="005933E3"/>
    <w:rsid w:val="00594EC0"/>
    <w:rsid w:val="005B4940"/>
    <w:rsid w:val="005B4DD4"/>
    <w:rsid w:val="005C0A1A"/>
    <w:rsid w:val="005C0A54"/>
    <w:rsid w:val="005C24D6"/>
    <w:rsid w:val="005C2E2C"/>
    <w:rsid w:val="005C3789"/>
    <w:rsid w:val="005C3F06"/>
    <w:rsid w:val="005C73F9"/>
    <w:rsid w:val="005D564E"/>
    <w:rsid w:val="005D6D2A"/>
    <w:rsid w:val="005E3D1C"/>
    <w:rsid w:val="005E4C81"/>
    <w:rsid w:val="005E5198"/>
    <w:rsid w:val="005E777C"/>
    <w:rsid w:val="005F10E3"/>
    <w:rsid w:val="006005FC"/>
    <w:rsid w:val="00607DF9"/>
    <w:rsid w:val="0061769C"/>
    <w:rsid w:val="00627865"/>
    <w:rsid w:val="00631953"/>
    <w:rsid w:val="00632DB8"/>
    <w:rsid w:val="006348B6"/>
    <w:rsid w:val="00637606"/>
    <w:rsid w:val="006409BD"/>
    <w:rsid w:val="0064697F"/>
    <w:rsid w:val="00650C27"/>
    <w:rsid w:val="00653502"/>
    <w:rsid w:val="00657F56"/>
    <w:rsid w:val="00660BD4"/>
    <w:rsid w:val="00662898"/>
    <w:rsid w:val="0066492C"/>
    <w:rsid w:val="006755DB"/>
    <w:rsid w:val="00675C82"/>
    <w:rsid w:val="00682FC9"/>
    <w:rsid w:val="00683765"/>
    <w:rsid w:val="006844F1"/>
    <w:rsid w:val="0068608C"/>
    <w:rsid w:val="0069445E"/>
    <w:rsid w:val="00694C8C"/>
    <w:rsid w:val="006A39CA"/>
    <w:rsid w:val="006A7B3F"/>
    <w:rsid w:val="006B08E1"/>
    <w:rsid w:val="006B3DA1"/>
    <w:rsid w:val="006B7F9D"/>
    <w:rsid w:val="006C2DCD"/>
    <w:rsid w:val="006C378B"/>
    <w:rsid w:val="006C4DB8"/>
    <w:rsid w:val="006C7B18"/>
    <w:rsid w:val="006C7D6A"/>
    <w:rsid w:val="006D03B6"/>
    <w:rsid w:val="006D0E7D"/>
    <w:rsid w:val="006E54C7"/>
    <w:rsid w:val="00702849"/>
    <w:rsid w:val="00714BC5"/>
    <w:rsid w:val="00734B0F"/>
    <w:rsid w:val="00747A36"/>
    <w:rsid w:val="00753E06"/>
    <w:rsid w:val="00755A62"/>
    <w:rsid w:val="00760FE7"/>
    <w:rsid w:val="007618B5"/>
    <w:rsid w:val="00762F2D"/>
    <w:rsid w:val="00763107"/>
    <w:rsid w:val="00773F62"/>
    <w:rsid w:val="00774FD2"/>
    <w:rsid w:val="007819BB"/>
    <w:rsid w:val="00782D43"/>
    <w:rsid w:val="00784CB6"/>
    <w:rsid w:val="00790172"/>
    <w:rsid w:val="00790236"/>
    <w:rsid w:val="00791BCB"/>
    <w:rsid w:val="00797E46"/>
    <w:rsid w:val="007A3884"/>
    <w:rsid w:val="007A66ED"/>
    <w:rsid w:val="007B44F3"/>
    <w:rsid w:val="007C1018"/>
    <w:rsid w:val="007C4F90"/>
    <w:rsid w:val="007C6610"/>
    <w:rsid w:val="007D16AF"/>
    <w:rsid w:val="007D42C8"/>
    <w:rsid w:val="007D5321"/>
    <w:rsid w:val="007D757F"/>
    <w:rsid w:val="007E3E6F"/>
    <w:rsid w:val="007F2036"/>
    <w:rsid w:val="007F28FE"/>
    <w:rsid w:val="008039C9"/>
    <w:rsid w:val="008047D3"/>
    <w:rsid w:val="008175CA"/>
    <w:rsid w:val="00824A2C"/>
    <w:rsid w:val="008275ED"/>
    <w:rsid w:val="00833216"/>
    <w:rsid w:val="008336A9"/>
    <w:rsid w:val="00841496"/>
    <w:rsid w:val="00843C49"/>
    <w:rsid w:val="0084426C"/>
    <w:rsid w:val="008533B5"/>
    <w:rsid w:val="00866D7A"/>
    <w:rsid w:val="0086779E"/>
    <w:rsid w:val="00870504"/>
    <w:rsid w:val="00871895"/>
    <w:rsid w:val="00873996"/>
    <w:rsid w:val="00873CF8"/>
    <w:rsid w:val="00877250"/>
    <w:rsid w:val="00877F75"/>
    <w:rsid w:val="00881856"/>
    <w:rsid w:val="00885887"/>
    <w:rsid w:val="0088700D"/>
    <w:rsid w:val="008920EE"/>
    <w:rsid w:val="0089301D"/>
    <w:rsid w:val="00897621"/>
    <w:rsid w:val="008B5057"/>
    <w:rsid w:val="008B710A"/>
    <w:rsid w:val="008C7043"/>
    <w:rsid w:val="008D10EF"/>
    <w:rsid w:val="008E0000"/>
    <w:rsid w:val="008E16CD"/>
    <w:rsid w:val="008E2D52"/>
    <w:rsid w:val="008E729B"/>
    <w:rsid w:val="008F1C1F"/>
    <w:rsid w:val="008F29C3"/>
    <w:rsid w:val="008F7A15"/>
    <w:rsid w:val="00906F2D"/>
    <w:rsid w:val="009132EE"/>
    <w:rsid w:val="009160AB"/>
    <w:rsid w:val="00916B39"/>
    <w:rsid w:val="00922EE5"/>
    <w:rsid w:val="00924485"/>
    <w:rsid w:val="00926452"/>
    <w:rsid w:val="0094291D"/>
    <w:rsid w:val="009457D8"/>
    <w:rsid w:val="009478C6"/>
    <w:rsid w:val="009506CD"/>
    <w:rsid w:val="00954EFD"/>
    <w:rsid w:val="00961E75"/>
    <w:rsid w:val="00963B51"/>
    <w:rsid w:val="00966493"/>
    <w:rsid w:val="00966521"/>
    <w:rsid w:val="009777C2"/>
    <w:rsid w:val="0098165B"/>
    <w:rsid w:val="00981E95"/>
    <w:rsid w:val="009820EC"/>
    <w:rsid w:val="00985C86"/>
    <w:rsid w:val="009918EF"/>
    <w:rsid w:val="009A1F09"/>
    <w:rsid w:val="009A3776"/>
    <w:rsid w:val="009A6716"/>
    <w:rsid w:val="009A7283"/>
    <w:rsid w:val="009B24F1"/>
    <w:rsid w:val="009B686D"/>
    <w:rsid w:val="009C60C3"/>
    <w:rsid w:val="009D3132"/>
    <w:rsid w:val="009E093A"/>
    <w:rsid w:val="009E19BC"/>
    <w:rsid w:val="009E1F7A"/>
    <w:rsid w:val="009E2E87"/>
    <w:rsid w:val="009F6503"/>
    <w:rsid w:val="00A03F12"/>
    <w:rsid w:val="00A06DA7"/>
    <w:rsid w:val="00A12D64"/>
    <w:rsid w:val="00A15A42"/>
    <w:rsid w:val="00A16C95"/>
    <w:rsid w:val="00A175B3"/>
    <w:rsid w:val="00A22EC0"/>
    <w:rsid w:val="00A25A85"/>
    <w:rsid w:val="00A26DD5"/>
    <w:rsid w:val="00A3596E"/>
    <w:rsid w:val="00A4384B"/>
    <w:rsid w:val="00A54C90"/>
    <w:rsid w:val="00A6016F"/>
    <w:rsid w:val="00A657AF"/>
    <w:rsid w:val="00A65E20"/>
    <w:rsid w:val="00A70A7C"/>
    <w:rsid w:val="00A7496E"/>
    <w:rsid w:val="00A7614E"/>
    <w:rsid w:val="00A860AD"/>
    <w:rsid w:val="00A965FD"/>
    <w:rsid w:val="00AA0B2F"/>
    <w:rsid w:val="00AA190D"/>
    <w:rsid w:val="00AA2A3D"/>
    <w:rsid w:val="00AB3E26"/>
    <w:rsid w:val="00AB5CB4"/>
    <w:rsid w:val="00AC2C98"/>
    <w:rsid w:val="00AC36E7"/>
    <w:rsid w:val="00AD2168"/>
    <w:rsid w:val="00AD2649"/>
    <w:rsid w:val="00AD3218"/>
    <w:rsid w:val="00AD5EAD"/>
    <w:rsid w:val="00AF2F8C"/>
    <w:rsid w:val="00B003ED"/>
    <w:rsid w:val="00B01F35"/>
    <w:rsid w:val="00B03128"/>
    <w:rsid w:val="00B03197"/>
    <w:rsid w:val="00B0662F"/>
    <w:rsid w:val="00B13A87"/>
    <w:rsid w:val="00B15320"/>
    <w:rsid w:val="00B15473"/>
    <w:rsid w:val="00B2045A"/>
    <w:rsid w:val="00B23500"/>
    <w:rsid w:val="00B240C8"/>
    <w:rsid w:val="00B24186"/>
    <w:rsid w:val="00B3491D"/>
    <w:rsid w:val="00B354A8"/>
    <w:rsid w:val="00B358AC"/>
    <w:rsid w:val="00B47397"/>
    <w:rsid w:val="00B5007B"/>
    <w:rsid w:val="00B50706"/>
    <w:rsid w:val="00B55B64"/>
    <w:rsid w:val="00B62A3C"/>
    <w:rsid w:val="00B65886"/>
    <w:rsid w:val="00B65EDA"/>
    <w:rsid w:val="00B74888"/>
    <w:rsid w:val="00B80521"/>
    <w:rsid w:val="00B81C77"/>
    <w:rsid w:val="00B869CC"/>
    <w:rsid w:val="00B907A3"/>
    <w:rsid w:val="00B9289E"/>
    <w:rsid w:val="00B933E2"/>
    <w:rsid w:val="00B9393A"/>
    <w:rsid w:val="00B95D44"/>
    <w:rsid w:val="00B95FB4"/>
    <w:rsid w:val="00BA2994"/>
    <w:rsid w:val="00BA59F0"/>
    <w:rsid w:val="00BA5EA9"/>
    <w:rsid w:val="00BB6896"/>
    <w:rsid w:val="00BC08D9"/>
    <w:rsid w:val="00BD2D32"/>
    <w:rsid w:val="00BD5A28"/>
    <w:rsid w:val="00BD7E27"/>
    <w:rsid w:val="00BE1D6B"/>
    <w:rsid w:val="00BE7A03"/>
    <w:rsid w:val="00BF04B3"/>
    <w:rsid w:val="00BF780E"/>
    <w:rsid w:val="00C00B88"/>
    <w:rsid w:val="00C10B90"/>
    <w:rsid w:val="00C12F61"/>
    <w:rsid w:val="00C14046"/>
    <w:rsid w:val="00C16BCB"/>
    <w:rsid w:val="00C2305A"/>
    <w:rsid w:val="00C2780C"/>
    <w:rsid w:val="00C27EDE"/>
    <w:rsid w:val="00C3698F"/>
    <w:rsid w:val="00C36CAB"/>
    <w:rsid w:val="00C376F1"/>
    <w:rsid w:val="00C46AF5"/>
    <w:rsid w:val="00C473A3"/>
    <w:rsid w:val="00C537C0"/>
    <w:rsid w:val="00C57579"/>
    <w:rsid w:val="00C67933"/>
    <w:rsid w:val="00C82404"/>
    <w:rsid w:val="00C82615"/>
    <w:rsid w:val="00C87774"/>
    <w:rsid w:val="00C87851"/>
    <w:rsid w:val="00C90B1D"/>
    <w:rsid w:val="00C97F0C"/>
    <w:rsid w:val="00CA1B61"/>
    <w:rsid w:val="00CB3C68"/>
    <w:rsid w:val="00CB7C28"/>
    <w:rsid w:val="00CD2547"/>
    <w:rsid w:val="00CD3FAC"/>
    <w:rsid w:val="00CD7C5D"/>
    <w:rsid w:val="00CD7DB3"/>
    <w:rsid w:val="00CD7E75"/>
    <w:rsid w:val="00CE0250"/>
    <w:rsid w:val="00CF266C"/>
    <w:rsid w:val="00CF726E"/>
    <w:rsid w:val="00CF7E5E"/>
    <w:rsid w:val="00D020F0"/>
    <w:rsid w:val="00D02A65"/>
    <w:rsid w:val="00D033FC"/>
    <w:rsid w:val="00D216A7"/>
    <w:rsid w:val="00D25773"/>
    <w:rsid w:val="00D353A2"/>
    <w:rsid w:val="00D43D7E"/>
    <w:rsid w:val="00D44BEC"/>
    <w:rsid w:val="00D66703"/>
    <w:rsid w:val="00D74E6B"/>
    <w:rsid w:val="00D764C0"/>
    <w:rsid w:val="00D764FA"/>
    <w:rsid w:val="00D84958"/>
    <w:rsid w:val="00D900F9"/>
    <w:rsid w:val="00D91592"/>
    <w:rsid w:val="00D923C5"/>
    <w:rsid w:val="00DB057A"/>
    <w:rsid w:val="00DD084E"/>
    <w:rsid w:val="00DD7132"/>
    <w:rsid w:val="00DE1328"/>
    <w:rsid w:val="00DE30A4"/>
    <w:rsid w:val="00DE7950"/>
    <w:rsid w:val="00DE7C85"/>
    <w:rsid w:val="00DF3705"/>
    <w:rsid w:val="00DF51A8"/>
    <w:rsid w:val="00DF723F"/>
    <w:rsid w:val="00E03BC7"/>
    <w:rsid w:val="00E10774"/>
    <w:rsid w:val="00E109F0"/>
    <w:rsid w:val="00E16A97"/>
    <w:rsid w:val="00E17BE9"/>
    <w:rsid w:val="00E26AF8"/>
    <w:rsid w:val="00E2792F"/>
    <w:rsid w:val="00E30455"/>
    <w:rsid w:val="00E323EB"/>
    <w:rsid w:val="00E37957"/>
    <w:rsid w:val="00E40371"/>
    <w:rsid w:val="00E46120"/>
    <w:rsid w:val="00E507DE"/>
    <w:rsid w:val="00E55BBD"/>
    <w:rsid w:val="00E56C59"/>
    <w:rsid w:val="00E57498"/>
    <w:rsid w:val="00E57CB8"/>
    <w:rsid w:val="00E60BF7"/>
    <w:rsid w:val="00E669A0"/>
    <w:rsid w:val="00E707C7"/>
    <w:rsid w:val="00E77B61"/>
    <w:rsid w:val="00E862D0"/>
    <w:rsid w:val="00E9538F"/>
    <w:rsid w:val="00E95CF2"/>
    <w:rsid w:val="00EA1E00"/>
    <w:rsid w:val="00EA3D8B"/>
    <w:rsid w:val="00EA5673"/>
    <w:rsid w:val="00EB0BF6"/>
    <w:rsid w:val="00EB1925"/>
    <w:rsid w:val="00EB26EB"/>
    <w:rsid w:val="00EB4708"/>
    <w:rsid w:val="00EB73E2"/>
    <w:rsid w:val="00EB7C74"/>
    <w:rsid w:val="00EB7E03"/>
    <w:rsid w:val="00EC54E4"/>
    <w:rsid w:val="00EC6F1F"/>
    <w:rsid w:val="00EC6F26"/>
    <w:rsid w:val="00ED188C"/>
    <w:rsid w:val="00EE6828"/>
    <w:rsid w:val="00EF515D"/>
    <w:rsid w:val="00F04357"/>
    <w:rsid w:val="00F05E1A"/>
    <w:rsid w:val="00F12510"/>
    <w:rsid w:val="00F148CD"/>
    <w:rsid w:val="00F1706F"/>
    <w:rsid w:val="00F17467"/>
    <w:rsid w:val="00F27098"/>
    <w:rsid w:val="00F307B3"/>
    <w:rsid w:val="00F31336"/>
    <w:rsid w:val="00F3746F"/>
    <w:rsid w:val="00F50293"/>
    <w:rsid w:val="00F5627B"/>
    <w:rsid w:val="00F747D2"/>
    <w:rsid w:val="00F85023"/>
    <w:rsid w:val="00F86332"/>
    <w:rsid w:val="00F957D2"/>
    <w:rsid w:val="00F97CA8"/>
    <w:rsid w:val="00FA41D1"/>
    <w:rsid w:val="00FA4B54"/>
    <w:rsid w:val="00FA5C91"/>
    <w:rsid w:val="00FB0AD5"/>
    <w:rsid w:val="00FB35BE"/>
    <w:rsid w:val="00FC2212"/>
    <w:rsid w:val="00FD28A8"/>
    <w:rsid w:val="00FE0F25"/>
    <w:rsid w:val="00FE60F3"/>
    <w:rsid w:val="00FE63C9"/>
    <w:rsid w:val="00FF408D"/>
    <w:rsid w:val="064BDC85"/>
    <w:rsid w:val="0C7F313B"/>
    <w:rsid w:val="1104487A"/>
    <w:rsid w:val="12A15165"/>
    <w:rsid w:val="12C02EFB"/>
    <w:rsid w:val="149C1746"/>
    <w:rsid w:val="15961BA5"/>
    <w:rsid w:val="15D267B1"/>
    <w:rsid w:val="173E47CB"/>
    <w:rsid w:val="1E536D58"/>
    <w:rsid w:val="1FA808F8"/>
    <w:rsid w:val="1FEF8090"/>
    <w:rsid w:val="22BE48B8"/>
    <w:rsid w:val="23EF0944"/>
    <w:rsid w:val="25EB2085"/>
    <w:rsid w:val="264178F5"/>
    <w:rsid w:val="27FF7B75"/>
    <w:rsid w:val="27FF9D63"/>
    <w:rsid w:val="28C90A0F"/>
    <w:rsid w:val="297818D2"/>
    <w:rsid w:val="2CE56965"/>
    <w:rsid w:val="2D481437"/>
    <w:rsid w:val="2FC5DB72"/>
    <w:rsid w:val="2FCE5204"/>
    <w:rsid w:val="308C5395"/>
    <w:rsid w:val="3348DB83"/>
    <w:rsid w:val="33DDE0A9"/>
    <w:rsid w:val="34B775B3"/>
    <w:rsid w:val="3DFF6498"/>
    <w:rsid w:val="3EFBC689"/>
    <w:rsid w:val="3F4FEB26"/>
    <w:rsid w:val="3FF72EBB"/>
    <w:rsid w:val="3FF7B56B"/>
    <w:rsid w:val="3FFE52B5"/>
    <w:rsid w:val="450D70E6"/>
    <w:rsid w:val="46C978C9"/>
    <w:rsid w:val="4CF5E955"/>
    <w:rsid w:val="4DFFAEAC"/>
    <w:rsid w:val="4F7BB938"/>
    <w:rsid w:val="4FB6134B"/>
    <w:rsid w:val="5708517E"/>
    <w:rsid w:val="5776022B"/>
    <w:rsid w:val="57D91936"/>
    <w:rsid w:val="5B77A964"/>
    <w:rsid w:val="5BFCDF15"/>
    <w:rsid w:val="5BFEDCCF"/>
    <w:rsid w:val="5CE70834"/>
    <w:rsid w:val="5CFD472C"/>
    <w:rsid w:val="62057497"/>
    <w:rsid w:val="66B86D80"/>
    <w:rsid w:val="67EC054E"/>
    <w:rsid w:val="67EF5316"/>
    <w:rsid w:val="67EF6ED6"/>
    <w:rsid w:val="6A603A3E"/>
    <w:rsid w:val="6BBE2FE7"/>
    <w:rsid w:val="6BDF2719"/>
    <w:rsid w:val="6DBDF444"/>
    <w:rsid w:val="6EFF2683"/>
    <w:rsid w:val="6FB3038B"/>
    <w:rsid w:val="6FBF1A19"/>
    <w:rsid w:val="6FCB89FB"/>
    <w:rsid w:val="6FDDB92B"/>
    <w:rsid w:val="6FEB0E02"/>
    <w:rsid w:val="74DA0CE9"/>
    <w:rsid w:val="75F49043"/>
    <w:rsid w:val="7637C928"/>
    <w:rsid w:val="76F6723F"/>
    <w:rsid w:val="77BAACE3"/>
    <w:rsid w:val="77E71078"/>
    <w:rsid w:val="77FFD22B"/>
    <w:rsid w:val="78BF8EDD"/>
    <w:rsid w:val="79E36C80"/>
    <w:rsid w:val="7A7EB085"/>
    <w:rsid w:val="7B3E8DCA"/>
    <w:rsid w:val="7B674F07"/>
    <w:rsid w:val="7E7D2C64"/>
    <w:rsid w:val="7F1E775C"/>
    <w:rsid w:val="7F6FE420"/>
    <w:rsid w:val="7F7C8ED9"/>
    <w:rsid w:val="7F7CEC1D"/>
    <w:rsid w:val="7F7D0DA2"/>
    <w:rsid w:val="7F9F63B8"/>
    <w:rsid w:val="7FB34D8F"/>
    <w:rsid w:val="7FC889EB"/>
    <w:rsid w:val="7FCEE45F"/>
    <w:rsid w:val="7FF73E45"/>
    <w:rsid w:val="7FFA76BE"/>
    <w:rsid w:val="7FFB6B58"/>
    <w:rsid w:val="7FFF98EC"/>
    <w:rsid w:val="85D6BB07"/>
    <w:rsid w:val="8FEF33DB"/>
    <w:rsid w:val="9D6E8B7E"/>
    <w:rsid w:val="9F6EF53A"/>
    <w:rsid w:val="9FCF404A"/>
    <w:rsid w:val="A73E2A82"/>
    <w:rsid w:val="ABFB4751"/>
    <w:rsid w:val="ADBE81A3"/>
    <w:rsid w:val="AF4F9C80"/>
    <w:rsid w:val="AFFF4DE7"/>
    <w:rsid w:val="B3C67109"/>
    <w:rsid w:val="B4DE94EB"/>
    <w:rsid w:val="B5DEE6D8"/>
    <w:rsid w:val="BAFF195F"/>
    <w:rsid w:val="BEA5BE6D"/>
    <w:rsid w:val="BFBDB795"/>
    <w:rsid w:val="CBFB8B46"/>
    <w:rsid w:val="CDBF59B0"/>
    <w:rsid w:val="CFCF5B15"/>
    <w:rsid w:val="D5F787CE"/>
    <w:rsid w:val="D63D03E7"/>
    <w:rsid w:val="D773DB70"/>
    <w:rsid w:val="D7DFCBBB"/>
    <w:rsid w:val="D7FF57D5"/>
    <w:rsid w:val="DA661EE1"/>
    <w:rsid w:val="DBCDBF0B"/>
    <w:rsid w:val="DDED3058"/>
    <w:rsid w:val="DEBDB9CD"/>
    <w:rsid w:val="DEDFC572"/>
    <w:rsid w:val="DEE282FF"/>
    <w:rsid w:val="DEFD1C5C"/>
    <w:rsid w:val="DF999B77"/>
    <w:rsid w:val="DFDB958D"/>
    <w:rsid w:val="DFFF53EF"/>
    <w:rsid w:val="E4FEB457"/>
    <w:rsid w:val="E7FCAAFF"/>
    <w:rsid w:val="E7FF1738"/>
    <w:rsid w:val="EA7FC693"/>
    <w:rsid w:val="EBE7C443"/>
    <w:rsid w:val="EBFF7F33"/>
    <w:rsid w:val="EDE770B2"/>
    <w:rsid w:val="EEEE21E4"/>
    <w:rsid w:val="EEEF0BAD"/>
    <w:rsid w:val="EEFA5EC0"/>
    <w:rsid w:val="EF75857D"/>
    <w:rsid w:val="EFBFB49E"/>
    <w:rsid w:val="EFF7A740"/>
    <w:rsid w:val="F1DE2247"/>
    <w:rsid w:val="F5B9954C"/>
    <w:rsid w:val="F5BEAE28"/>
    <w:rsid w:val="F69F0BAF"/>
    <w:rsid w:val="F6FB4BE5"/>
    <w:rsid w:val="F77F9E18"/>
    <w:rsid w:val="F7836608"/>
    <w:rsid w:val="F7DF5D44"/>
    <w:rsid w:val="F7DFDC6A"/>
    <w:rsid w:val="F7EF4329"/>
    <w:rsid w:val="F7FF17AE"/>
    <w:rsid w:val="FB6D2048"/>
    <w:rsid w:val="FB9A3FEF"/>
    <w:rsid w:val="FBAEF959"/>
    <w:rsid w:val="FC755660"/>
    <w:rsid w:val="FCFDEFAA"/>
    <w:rsid w:val="FDBD148E"/>
    <w:rsid w:val="FDBD79D4"/>
    <w:rsid w:val="FDF7FD48"/>
    <w:rsid w:val="FE4FB1D8"/>
    <w:rsid w:val="FE531B2C"/>
    <w:rsid w:val="FEBD0A1C"/>
    <w:rsid w:val="FEBEB224"/>
    <w:rsid w:val="FEF6199D"/>
    <w:rsid w:val="FF6F482F"/>
    <w:rsid w:val="FF789142"/>
    <w:rsid w:val="FF9FFE4B"/>
    <w:rsid w:val="FFAF6732"/>
    <w:rsid w:val="FFFE271D"/>
    <w:rsid w:val="FFFEEE1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0" w:name="footnote text"/>
    <w:lsdException w:qFormat="1"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0" w:name="footnote reference"/>
    <w:lsdException w:qFormat="1"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name="Hyperlink"/>
    <w:lsdException w:qFormat="1"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qFormat="1" w:uiPriority="99" w:semiHidden="0" w:name="HTML Preformatted"/>
    <w:lsdException w:uiPriority="99" w:name="HTML Sample"/>
    <w:lsdException w:uiPriority="99" w:name="HTML Typewriter"/>
    <w:lsdException w:uiPriority="99" w:name="HTML Variable"/>
    <w:lsdException w:qFormat="1" w:uiPriority="99" w:name="Normal Table"/>
    <w:lsdException w:qFormat="1"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link w:val="54"/>
    <w:qFormat/>
    <w:uiPriority w:val="0"/>
    <w:pPr>
      <w:keepNext/>
      <w:keepLines/>
      <w:spacing w:before="340" w:after="330" w:line="578" w:lineRule="auto"/>
      <w:outlineLvl w:val="0"/>
    </w:pPr>
    <w:rPr>
      <w:rFonts w:ascii="Times New Roman" w:hAnsi="Times New Roman" w:eastAsia="宋体" w:cs="Times New Roman"/>
      <w:b/>
      <w:bCs/>
      <w:kern w:val="44"/>
      <w:sz w:val="44"/>
      <w:szCs w:val="44"/>
    </w:rPr>
  </w:style>
  <w:style w:type="character" w:default="1" w:styleId="12">
    <w:name w:val="Default Paragraph Font"/>
    <w:semiHidden/>
    <w:unhideWhenUsed/>
    <w:qFormat/>
    <w:uiPriority w:val="1"/>
  </w:style>
  <w:style w:type="table" w:default="1" w:styleId="10">
    <w:name w:val="Normal Table"/>
    <w:semiHidden/>
    <w:unhideWhenUsed/>
    <w:qFormat/>
    <w:uiPriority w:val="99"/>
    <w:tblPr>
      <w:tblCellMar>
        <w:top w:w="0" w:type="dxa"/>
        <w:left w:w="108" w:type="dxa"/>
        <w:bottom w:w="0" w:type="dxa"/>
        <w:right w:w="108" w:type="dxa"/>
      </w:tblCellMar>
    </w:tblPr>
  </w:style>
  <w:style w:type="paragraph" w:styleId="3">
    <w:name w:val="annotation text"/>
    <w:basedOn w:val="1"/>
    <w:link w:val="39"/>
    <w:semiHidden/>
    <w:unhideWhenUsed/>
    <w:qFormat/>
    <w:uiPriority w:val="99"/>
    <w:pPr>
      <w:jc w:val="left"/>
    </w:pPr>
  </w:style>
  <w:style w:type="paragraph" w:styleId="4">
    <w:name w:val="Balloon Text"/>
    <w:basedOn w:val="1"/>
    <w:link w:val="42"/>
    <w:semiHidden/>
    <w:unhideWhenUsed/>
    <w:qFormat/>
    <w:uiPriority w:val="99"/>
    <w:rPr>
      <w:sz w:val="18"/>
      <w:szCs w:val="18"/>
    </w:rPr>
  </w:style>
  <w:style w:type="paragraph" w:styleId="5">
    <w:name w:val="footer"/>
    <w:basedOn w:val="1"/>
    <w:link w:val="30"/>
    <w:unhideWhenUsed/>
    <w:qFormat/>
    <w:uiPriority w:val="99"/>
    <w:pPr>
      <w:tabs>
        <w:tab w:val="center" w:pos="4153"/>
        <w:tab w:val="right" w:pos="8306"/>
      </w:tabs>
      <w:snapToGrid w:val="0"/>
      <w:jc w:val="left"/>
    </w:pPr>
    <w:rPr>
      <w:sz w:val="18"/>
      <w:szCs w:val="18"/>
    </w:rPr>
  </w:style>
  <w:style w:type="paragraph" w:styleId="6">
    <w:name w:val="header"/>
    <w:basedOn w:val="1"/>
    <w:link w:val="29"/>
    <w:unhideWhenUsed/>
    <w:qFormat/>
    <w:uiPriority w:val="99"/>
    <w:pPr>
      <w:pBdr>
        <w:bottom w:val="single" w:color="auto" w:sz="6" w:space="1"/>
      </w:pBdr>
      <w:tabs>
        <w:tab w:val="center" w:pos="4153"/>
        <w:tab w:val="right" w:pos="8306"/>
      </w:tabs>
      <w:snapToGrid w:val="0"/>
      <w:jc w:val="center"/>
    </w:pPr>
    <w:rPr>
      <w:sz w:val="18"/>
      <w:szCs w:val="18"/>
    </w:rPr>
  </w:style>
  <w:style w:type="paragraph" w:styleId="7">
    <w:name w:val="footnote text"/>
    <w:basedOn w:val="1"/>
    <w:link w:val="45"/>
    <w:semiHidden/>
    <w:unhideWhenUsed/>
    <w:qFormat/>
    <w:uiPriority w:val="0"/>
    <w:pPr>
      <w:snapToGrid w:val="0"/>
      <w:jc w:val="left"/>
    </w:pPr>
    <w:rPr>
      <w:rFonts w:ascii="Calibri" w:hAnsi="Calibri" w:eastAsia="宋体" w:cs="Times New Roman"/>
      <w:sz w:val="18"/>
    </w:rPr>
  </w:style>
  <w:style w:type="paragraph" w:styleId="8">
    <w:name w:val="HTML Preformatted"/>
    <w:basedOn w:val="1"/>
    <w:link w:val="51"/>
    <w:unhideWhenUsed/>
    <w:qFormat/>
    <w:uiPriority w:val="9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hint="eastAsia" w:ascii="宋体" w:hAnsi="宋体" w:eastAsia="宋体" w:cs="Times New Roman"/>
      <w:kern w:val="0"/>
      <w:sz w:val="24"/>
      <w:szCs w:val="24"/>
    </w:rPr>
  </w:style>
  <w:style w:type="paragraph" w:styleId="9">
    <w:name w:val="annotation subject"/>
    <w:basedOn w:val="3"/>
    <w:next w:val="3"/>
    <w:link w:val="40"/>
    <w:semiHidden/>
    <w:unhideWhenUsed/>
    <w:qFormat/>
    <w:uiPriority w:val="99"/>
    <w:rPr>
      <w:b/>
      <w:bCs/>
    </w:rPr>
  </w:style>
  <w:style w:type="table" w:styleId="11">
    <w:name w:val="Table Grid"/>
    <w:basedOn w:val="10"/>
    <w:qFormat/>
    <w:uiPriority w:val="3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3">
    <w:name w:val="FollowedHyperlink"/>
    <w:basedOn w:val="12"/>
    <w:semiHidden/>
    <w:unhideWhenUsed/>
    <w:qFormat/>
    <w:uiPriority w:val="99"/>
    <w:rPr>
      <w:color w:val="954F72"/>
      <w:u w:val="single"/>
    </w:rPr>
  </w:style>
  <w:style w:type="character" w:styleId="14">
    <w:name w:val="Hyperlink"/>
    <w:basedOn w:val="12"/>
    <w:semiHidden/>
    <w:unhideWhenUsed/>
    <w:qFormat/>
    <w:uiPriority w:val="99"/>
    <w:rPr>
      <w:color w:val="0563C1"/>
      <w:u w:val="single"/>
    </w:rPr>
  </w:style>
  <w:style w:type="character" w:styleId="15">
    <w:name w:val="annotation reference"/>
    <w:basedOn w:val="12"/>
    <w:semiHidden/>
    <w:unhideWhenUsed/>
    <w:qFormat/>
    <w:uiPriority w:val="99"/>
    <w:rPr>
      <w:sz w:val="21"/>
      <w:szCs w:val="21"/>
    </w:rPr>
  </w:style>
  <w:style w:type="character" w:styleId="16">
    <w:name w:val="footnote reference"/>
    <w:basedOn w:val="12"/>
    <w:semiHidden/>
    <w:unhideWhenUsed/>
    <w:qFormat/>
    <w:uiPriority w:val="0"/>
    <w:rPr>
      <w:vertAlign w:val="superscript"/>
    </w:rPr>
  </w:style>
  <w:style w:type="paragraph" w:customStyle="1" w:styleId="17">
    <w:name w:val="msonormal"/>
    <w:basedOn w:val="1"/>
    <w:qFormat/>
    <w:uiPriority w:val="0"/>
    <w:pPr>
      <w:widowControl/>
      <w:spacing w:before="100" w:beforeAutospacing="1" w:after="100" w:afterAutospacing="1"/>
      <w:jc w:val="left"/>
    </w:pPr>
    <w:rPr>
      <w:rFonts w:ascii="宋体" w:hAnsi="宋体" w:eastAsia="宋体" w:cs="宋体"/>
      <w:kern w:val="0"/>
      <w:sz w:val="24"/>
      <w:szCs w:val="24"/>
    </w:rPr>
  </w:style>
  <w:style w:type="paragraph" w:customStyle="1" w:styleId="18">
    <w:name w:val="font5"/>
    <w:basedOn w:val="1"/>
    <w:qFormat/>
    <w:uiPriority w:val="0"/>
    <w:pPr>
      <w:widowControl/>
      <w:spacing w:before="100" w:beforeAutospacing="1" w:after="100" w:afterAutospacing="1"/>
      <w:jc w:val="left"/>
    </w:pPr>
    <w:rPr>
      <w:rFonts w:ascii="等线" w:hAnsi="等线" w:eastAsia="等线" w:cs="宋体"/>
      <w:kern w:val="0"/>
      <w:sz w:val="18"/>
      <w:szCs w:val="18"/>
    </w:rPr>
  </w:style>
  <w:style w:type="paragraph" w:customStyle="1" w:styleId="19">
    <w:name w:val="font6"/>
    <w:basedOn w:val="1"/>
    <w:qFormat/>
    <w:uiPriority w:val="0"/>
    <w:pPr>
      <w:widowControl/>
      <w:spacing w:before="100" w:beforeAutospacing="1" w:after="100" w:afterAutospacing="1"/>
      <w:jc w:val="left"/>
    </w:pPr>
    <w:rPr>
      <w:rFonts w:ascii="仿宋_GB2312" w:hAnsi="宋体" w:eastAsia="仿宋_GB2312" w:cs="宋体"/>
      <w:color w:val="000000"/>
      <w:kern w:val="0"/>
      <w:sz w:val="22"/>
    </w:rPr>
  </w:style>
  <w:style w:type="paragraph" w:customStyle="1" w:styleId="20">
    <w:name w:val="font7"/>
    <w:basedOn w:val="1"/>
    <w:qFormat/>
    <w:uiPriority w:val="0"/>
    <w:pPr>
      <w:widowControl/>
      <w:spacing w:before="100" w:beforeAutospacing="1" w:after="100" w:afterAutospacing="1"/>
      <w:jc w:val="left"/>
    </w:pPr>
    <w:rPr>
      <w:rFonts w:ascii="仿宋_GB2312" w:hAnsi="宋体" w:eastAsia="仿宋_GB2312" w:cs="宋体"/>
      <w:b/>
      <w:bCs/>
      <w:color w:val="000000"/>
      <w:kern w:val="0"/>
      <w:sz w:val="22"/>
    </w:rPr>
  </w:style>
  <w:style w:type="paragraph" w:customStyle="1" w:styleId="21">
    <w:name w:val="xl65"/>
    <w:basedOn w:val="1"/>
    <w:qFormat/>
    <w:uiPriority w:val="0"/>
    <w:pPr>
      <w:widowControl/>
      <w:spacing w:before="100" w:beforeAutospacing="1" w:after="100" w:afterAutospacing="1"/>
      <w:jc w:val="left"/>
    </w:pPr>
    <w:rPr>
      <w:rFonts w:ascii="仿宋_GB2312" w:hAnsi="宋体" w:eastAsia="仿宋_GB2312" w:cs="宋体"/>
      <w:kern w:val="0"/>
      <w:sz w:val="24"/>
      <w:szCs w:val="24"/>
    </w:rPr>
  </w:style>
  <w:style w:type="paragraph" w:customStyle="1" w:styleId="22">
    <w:name w:val="xl66"/>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仿宋_GB2312" w:hAnsi="宋体" w:eastAsia="仿宋_GB2312" w:cs="宋体"/>
      <w:b/>
      <w:bCs/>
      <w:kern w:val="0"/>
      <w:sz w:val="24"/>
      <w:szCs w:val="24"/>
    </w:rPr>
  </w:style>
  <w:style w:type="paragraph" w:customStyle="1" w:styleId="23">
    <w:name w:val="xl67"/>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仿宋_GB2312" w:hAnsi="宋体" w:eastAsia="仿宋_GB2312" w:cs="宋体"/>
      <w:color w:val="000000"/>
      <w:kern w:val="0"/>
      <w:sz w:val="24"/>
      <w:szCs w:val="24"/>
    </w:rPr>
  </w:style>
  <w:style w:type="paragraph" w:customStyle="1" w:styleId="24">
    <w:name w:val="xl68"/>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pPr>
    <w:rPr>
      <w:rFonts w:ascii="仿宋_GB2312" w:hAnsi="宋体" w:eastAsia="仿宋_GB2312" w:cs="宋体"/>
      <w:color w:val="000000"/>
      <w:kern w:val="0"/>
      <w:sz w:val="24"/>
      <w:szCs w:val="24"/>
    </w:rPr>
  </w:style>
  <w:style w:type="paragraph" w:customStyle="1" w:styleId="25">
    <w:name w:val="xl69"/>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仿宋_GB2312" w:hAnsi="宋体" w:eastAsia="仿宋_GB2312" w:cs="宋体"/>
      <w:kern w:val="0"/>
      <w:sz w:val="24"/>
      <w:szCs w:val="24"/>
    </w:rPr>
  </w:style>
  <w:style w:type="paragraph" w:customStyle="1" w:styleId="26">
    <w:name w:val="xl70"/>
    <w:basedOn w:val="1"/>
    <w:qFormat/>
    <w:uiPriority w:val="0"/>
    <w:pPr>
      <w:widowControl/>
      <w:pBdr>
        <w:top w:val="single" w:color="auto" w:sz="4" w:space="0"/>
        <w:left w:val="single" w:color="auto" w:sz="4" w:space="0"/>
        <w:bottom w:val="single" w:color="auto" w:sz="4" w:space="0"/>
        <w:right w:val="single" w:color="auto" w:sz="4" w:space="0"/>
      </w:pBdr>
      <w:shd w:val="clear" w:color="000000" w:fill="92D050"/>
      <w:spacing w:before="100" w:beforeAutospacing="1" w:after="100" w:afterAutospacing="1"/>
      <w:jc w:val="left"/>
    </w:pPr>
    <w:rPr>
      <w:rFonts w:ascii="仿宋_GB2312" w:hAnsi="宋体" w:eastAsia="仿宋_GB2312" w:cs="宋体"/>
      <w:kern w:val="0"/>
      <w:sz w:val="24"/>
      <w:szCs w:val="24"/>
    </w:rPr>
  </w:style>
  <w:style w:type="paragraph" w:customStyle="1" w:styleId="27">
    <w:name w:val="xl71"/>
    <w:basedOn w:val="1"/>
    <w:qFormat/>
    <w:uiPriority w:val="0"/>
    <w:pPr>
      <w:widowControl/>
      <w:spacing w:before="100" w:beforeAutospacing="1" w:after="100" w:afterAutospacing="1"/>
      <w:jc w:val="center"/>
    </w:pPr>
    <w:rPr>
      <w:rFonts w:ascii="仿宋_GB2312" w:hAnsi="宋体" w:eastAsia="仿宋_GB2312" w:cs="宋体"/>
      <w:kern w:val="0"/>
      <w:sz w:val="24"/>
      <w:szCs w:val="24"/>
    </w:rPr>
  </w:style>
  <w:style w:type="paragraph" w:styleId="28">
    <w:name w:val="List Paragraph"/>
    <w:basedOn w:val="1"/>
    <w:qFormat/>
    <w:uiPriority w:val="34"/>
    <w:pPr>
      <w:ind w:firstLine="420" w:firstLineChars="200"/>
    </w:pPr>
  </w:style>
  <w:style w:type="character" w:customStyle="1" w:styleId="29">
    <w:name w:val="页眉 字符"/>
    <w:basedOn w:val="12"/>
    <w:link w:val="6"/>
    <w:qFormat/>
    <w:uiPriority w:val="99"/>
    <w:rPr>
      <w:sz w:val="18"/>
      <w:szCs w:val="18"/>
    </w:rPr>
  </w:style>
  <w:style w:type="character" w:customStyle="1" w:styleId="30">
    <w:name w:val="页脚 字符"/>
    <w:basedOn w:val="12"/>
    <w:link w:val="5"/>
    <w:qFormat/>
    <w:uiPriority w:val="99"/>
    <w:rPr>
      <w:sz w:val="18"/>
      <w:szCs w:val="18"/>
    </w:rPr>
  </w:style>
  <w:style w:type="paragraph" w:customStyle="1" w:styleId="31">
    <w:name w:val="列出段落1"/>
    <w:basedOn w:val="1"/>
    <w:qFormat/>
    <w:uiPriority w:val="34"/>
    <w:pPr>
      <w:ind w:firstLine="420" w:firstLineChars="200"/>
    </w:pPr>
    <w:rPr>
      <w:rFonts w:ascii="Calibri" w:hAnsi="Calibri" w:eastAsia="宋体" w:cs="Times New Roman"/>
    </w:rPr>
  </w:style>
  <w:style w:type="paragraph" w:customStyle="1" w:styleId="32">
    <w:name w:val="xl63"/>
    <w:basedOn w:val="1"/>
    <w:qFormat/>
    <w:uiPriority w:val="0"/>
    <w:pPr>
      <w:widowControl/>
      <w:spacing w:before="100" w:beforeAutospacing="1" w:after="100" w:afterAutospacing="1"/>
      <w:jc w:val="left"/>
      <w:textAlignment w:val="bottom"/>
    </w:pPr>
    <w:rPr>
      <w:rFonts w:ascii="仿宋_GB2312" w:hAnsi="宋体" w:eastAsia="仿宋_GB2312" w:cs="宋体"/>
      <w:kern w:val="0"/>
      <w:sz w:val="24"/>
      <w:szCs w:val="24"/>
    </w:rPr>
  </w:style>
  <w:style w:type="paragraph" w:customStyle="1" w:styleId="33">
    <w:name w:val="xl64"/>
    <w:basedOn w:val="1"/>
    <w:qFormat/>
    <w:uiPriority w:val="0"/>
    <w:pPr>
      <w:widowControl/>
      <w:spacing w:before="100" w:beforeAutospacing="1" w:after="100" w:afterAutospacing="1"/>
      <w:jc w:val="left"/>
      <w:textAlignment w:val="bottom"/>
    </w:pPr>
    <w:rPr>
      <w:rFonts w:ascii="仿宋_GB2312" w:hAnsi="宋体" w:eastAsia="仿宋_GB2312" w:cs="宋体"/>
      <w:kern w:val="0"/>
      <w:sz w:val="24"/>
      <w:szCs w:val="24"/>
    </w:rPr>
  </w:style>
  <w:style w:type="paragraph" w:customStyle="1" w:styleId="34">
    <w:name w:val="xl72"/>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仿宋_GB2312" w:hAnsi="宋体" w:eastAsia="仿宋_GB2312" w:cs="宋体"/>
      <w:b/>
      <w:bCs/>
      <w:color w:val="000000"/>
      <w:kern w:val="0"/>
      <w:sz w:val="24"/>
      <w:szCs w:val="24"/>
    </w:rPr>
  </w:style>
  <w:style w:type="paragraph" w:customStyle="1" w:styleId="35">
    <w:name w:val="xl73"/>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仿宋_GB2312" w:hAnsi="宋体" w:eastAsia="仿宋_GB2312" w:cs="宋体"/>
      <w:color w:val="000000"/>
      <w:kern w:val="0"/>
      <w:sz w:val="24"/>
      <w:szCs w:val="24"/>
    </w:rPr>
  </w:style>
  <w:style w:type="paragraph" w:customStyle="1" w:styleId="36">
    <w:name w:val="xl74"/>
    <w:basedOn w:val="1"/>
    <w:qFormat/>
    <w:uiPriority w:val="0"/>
    <w:pPr>
      <w:widowControl/>
      <w:spacing w:before="100" w:beforeAutospacing="1" w:after="100" w:afterAutospacing="1"/>
      <w:jc w:val="center"/>
      <w:textAlignment w:val="bottom"/>
    </w:pPr>
    <w:rPr>
      <w:rFonts w:ascii="仿宋_GB2312" w:hAnsi="宋体" w:eastAsia="仿宋_GB2312" w:cs="宋体"/>
      <w:kern w:val="0"/>
      <w:sz w:val="24"/>
      <w:szCs w:val="24"/>
    </w:rPr>
  </w:style>
  <w:style w:type="paragraph" w:customStyle="1" w:styleId="37">
    <w:name w:val="修订1"/>
    <w:hidden/>
    <w:semiHidden/>
    <w:qFormat/>
    <w:uiPriority w:val="99"/>
    <w:rPr>
      <w:rFonts w:asciiTheme="minorHAnsi" w:hAnsiTheme="minorHAnsi" w:eastAsiaTheme="minorEastAsia" w:cstheme="minorBidi"/>
      <w:kern w:val="2"/>
      <w:sz w:val="21"/>
      <w:szCs w:val="22"/>
      <w:lang w:val="en-US" w:eastAsia="zh-CN" w:bidi="ar-SA"/>
    </w:rPr>
  </w:style>
  <w:style w:type="paragraph" w:customStyle="1" w:styleId="38">
    <w:name w:val="修订2"/>
    <w:hidden/>
    <w:semiHidden/>
    <w:qFormat/>
    <w:uiPriority w:val="99"/>
    <w:rPr>
      <w:rFonts w:asciiTheme="minorHAnsi" w:hAnsiTheme="minorHAnsi" w:eastAsiaTheme="minorEastAsia" w:cstheme="minorBidi"/>
      <w:kern w:val="2"/>
      <w:sz w:val="21"/>
      <w:szCs w:val="22"/>
      <w:lang w:val="en-US" w:eastAsia="zh-CN" w:bidi="ar-SA"/>
    </w:rPr>
  </w:style>
  <w:style w:type="character" w:customStyle="1" w:styleId="39">
    <w:name w:val="批注文字 字符"/>
    <w:basedOn w:val="12"/>
    <w:link w:val="3"/>
    <w:semiHidden/>
    <w:qFormat/>
    <w:uiPriority w:val="99"/>
    <w:rPr>
      <w:kern w:val="2"/>
      <w:sz w:val="21"/>
      <w:szCs w:val="22"/>
    </w:rPr>
  </w:style>
  <w:style w:type="character" w:customStyle="1" w:styleId="40">
    <w:name w:val="批注主题 字符"/>
    <w:basedOn w:val="39"/>
    <w:link w:val="9"/>
    <w:semiHidden/>
    <w:qFormat/>
    <w:uiPriority w:val="99"/>
    <w:rPr>
      <w:b/>
      <w:bCs/>
      <w:kern w:val="2"/>
      <w:sz w:val="21"/>
      <w:szCs w:val="22"/>
    </w:rPr>
  </w:style>
  <w:style w:type="paragraph" w:customStyle="1" w:styleId="41">
    <w:name w:val="修订3"/>
    <w:hidden/>
    <w:semiHidden/>
    <w:qFormat/>
    <w:uiPriority w:val="99"/>
    <w:rPr>
      <w:rFonts w:asciiTheme="minorHAnsi" w:hAnsiTheme="minorHAnsi" w:eastAsiaTheme="minorEastAsia" w:cstheme="minorBidi"/>
      <w:kern w:val="2"/>
      <w:sz w:val="21"/>
      <w:szCs w:val="22"/>
      <w:lang w:val="en-US" w:eastAsia="zh-CN" w:bidi="ar-SA"/>
    </w:rPr>
  </w:style>
  <w:style w:type="character" w:customStyle="1" w:styleId="42">
    <w:name w:val="批注框文本 字符"/>
    <w:basedOn w:val="12"/>
    <w:link w:val="4"/>
    <w:semiHidden/>
    <w:qFormat/>
    <w:uiPriority w:val="99"/>
    <w:rPr>
      <w:rFonts w:asciiTheme="minorHAnsi" w:hAnsiTheme="minorHAnsi" w:eastAsiaTheme="minorEastAsia" w:cstheme="minorBidi"/>
      <w:kern w:val="2"/>
      <w:sz w:val="18"/>
      <w:szCs w:val="18"/>
    </w:rPr>
  </w:style>
  <w:style w:type="paragraph" w:customStyle="1" w:styleId="43">
    <w:name w:val="修订4"/>
    <w:hidden/>
    <w:semiHidden/>
    <w:qFormat/>
    <w:uiPriority w:val="99"/>
    <w:rPr>
      <w:rFonts w:asciiTheme="minorHAnsi" w:hAnsiTheme="minorHAnsi" w:eastAsiaTheme="minorEastAsia" w:cstheme="minorBidi"/>
      <w:kern w:val="2"/>
      <w:sz w:val="21"/>
      <w:szCs w:val="22"/>
      <w:lang w:val="en-US" w:eastAsia="zh-CN" w:bidi="ar-SA"/>
    </w:rPr>
  </w:style>
  <w:style w:type="paragraph" w:customStyle="1" w:styleId="44">
    <w:name w:val="修订5"/>
    <w:hidden/>
    <w:semiHidden/>
    <w:qFormat/>
    <w:uiPriority w:val="99"/>
    <w:rPr>
      <w:rFonts w:asciiTheme="minorHAnsi" w:hAnsiTheme="minorHAnsi" w:eastAsiaTheme="minorEastAsia" w:cstheme="minorBidi"/>
      <w:kern w:val="2"/>
      <w:sz w:val="21"/>
      <w:szCs w:val="22"/>
      <w:lang w:val="en-US" w:eastAsia="zh-CN" w:bidi="ar-SA"/>
    </w:rPr>
  </w:style>
  <w:style w:type="character" w:customStyle="1" w:styleId="45">
    <w:name w:val="脚注文本 字符"/>
    <w:basedOn w:val="12"/>
    <w:link w:val="7"/>
    <w:semiHidden/>
    <w:qFormat/>
    <w:uiPriority w:val="0"/>
    <w:rPr>
      <w:rFonts w:ascii="Calibri" w:hAnsi="Calibri"/>
      <w:kern w:val="2"/>
      <w:sz w:val="18"/>
      <w:szCs w:val="22"/>
    </w:rPr>
  </w:style>
  <w:style w:type="paragraph" w:customStyle="1" w:styleId="46">
    <w:name w:val="修订6"/>
    <w:hidden/>
    <w:semiHidden/>
    <w:qFormat/>
    <w:uiPriority w:val="99"/>
    <w:rPr>
      <w:rFonts w:asciiTheme="minorHAnsi" w:hAnsiTheme="minorHAnsi" w:eastAsiaTheme="minorEastAsia" w:cstheme="minorBidi"/>
      <w:kern w:val="2"/>
      <w:sz w:val="21"/>
      <w:szCs w:val="22"/>
      <w:lang w:val="en-US" w:eastAsia="zh-CN" w:bidi="ar-SA"/>
    </w:rPr>
  </w:style>
  <w:style w:type="paragraph" w:customStyle="1" w:styleId="47">
    <w:name w:val="修订7"/>
    <w:hidden/>
    <w:semiHidden/>
    <w:qFormat/>
    <w:uiPriority w:val="99"/>
    <w:rPr>
      <w:rFonts w:asciiTheme="minorHAnsi" w:hAnsiTheme="minorHAnsi" w:eastAsiaTheme="minorEastAsia" w:cstheme="minorBidi"/>
      <w:kern w:val="2"/>
      <w:sz w:val="21"/>
      <w:szCs w:val="22"/>
      <w:lang w:val="en-US" w:eastAsia="zh-CN" w:bidi="ar-SA"/>
    </w:rPr>
  </w:style>
  <w:style w:type="paragraph" w:customStyle="1" w:styleId="48">
    <w:name w:val="Default"/>
    <w:qFormat/>
    <w:uiPriority w:val="0"/>
    <w:pPr>
      <w:widowControl w:val="0"/>
      <w:autoSpaceDE w:val="0"/>
      <w:autoSpaceDN w:val="0"/>
      <w:adjustRightInd w:val="0"/>
    </w:pPr>
    <w:rPr>
      <w:rFonts w:ascii="黑体" w:hAnsi="Times New Roman" w:eastAsia="黑体" w:cs="黑体"/>
      <w:color w:val="000000"/>
      <w:sz w:val="24"/>
      <w:szCs w:val="24"/>
      <w:lang w:val="en-US" w:eastAsia="zh-CN" w:bidi="ar-SA"/>
    </w:rPr>
  </w:style>
  <w:style w:type="paragraph" w:customStyle="1" w:styleId="49">
    <w:name w:val="修订8"/>
    <w:hidden/>
    <w:semiHidden/>
    <w:qFormat/>
    <w:uiPriority w:val="99"/>
    <w:rPr>
      <w:rFonts w:asciiTheme="minorHAnsi" w:hAnsiTheme="minorHAnsi" w:eastAsiaTheme="minorEastAsia" w:cstheme="minorBidi"/>
      <w:kern w:val="2"/>
      <w:sz w:val="21"/>
      <w:szCs w:val="22"/>
      <w:lang w:val="en-US" w:eastAsia="zh-CN" w:bidi="ar-SA"/>
    </w:rPr>
  </w:style>
  <w:style w:type="paragraph" w:customStyle="1" w:styleId="50">
    <w:name w:val="修订9"/>
    <w:hidden/>
    <w:semiHidden/>
    <w:qFormat/>
    <w:uiPriority w:val="99"/>
    <w:rPr>
      <w:rFonts w:asciiTheme="minorHAnsi" w:hAnsiTheme="minorHAnsi" w:eastAsiaTheme="minorEastAsia" w:cstheme="minorBidi"/>
      <w:kern w:val="2"/>
      <w:sz w:val="21"/>
      <w:szCs w:val="22"/>
      <w:lang w:val="en-US" w:eastAsia="zh-CN" w:bidi="ar-SA"/>
    </w:rPr>
  </w:style>
  <w:style w:type="character" w:customStyle="1" w:styleId="51">
    <w:name w:val="HTML 预设格式 字符"/>
    <w:basedOn w:val="12"/>
    <w:link w:val="8"/>
    <w:qFormat/>
    <w:uiPriority w:val="99"/>
    <w:rPr>
      <w:rFonts w:ascii="宋体" w:hAnsi="宋体"/>
      <w:sz w:val="24"/>
      <w:szCs w:val="24"/>
    </w:rPr>
  </w:style>
  <w:style w:type="paragraph" w:customStyle="1" w:styleId="52">
    <w:name w:val="修订10"/>
    <w:hidden/>
    <w:unhideWhenUsed/>
    <w:qFormat/>
    <w:uiPriority w:val="99"/>
    <w:rPr>
      <w:rFonts w:asciiTheme="minorHAnsi" w:hAnsiTheme="minorHAnsi" w:eastAsiaTheme="minorEastAsia" w:cstheme="minorBidi"/>
      <w:kern w:val="2"/>
      <w:sz w:val="21"/>
      <w:szCs w:val="22"/>
      <w:lang w:val="en-US" w:eastAsia="zh-CN" w:bidi="ar-SA"/>
    </w:rPr>
  </w:style>
  <w:style w:type="paragraph" w:customStyle="1" w:styleId="53">
    <w:name w:val="Revision"/>
    <w:hidden/>
    <w:unhideWhenUsed/>
    <w:qFormat/>
    <w:uiPriority w:val="99"/>
    <w:rPr>
      <w:rFonts w:asciiTheme="minorHAnsi" w:hAnsiTheme="minorHAnsi" w:eastAsiaTheme="minorEastAsia" w:cstheme="minorBidi"/>
      <w:kern w:val="2"/>
      <w:sz w:val="21"/>
      <w:szCs w:val="22"/>
      <w:lang w:val="en-US" w:eastAsia="zh-CN" w:bidi="ar-SA"/>
    </w:rPr>
  </w:style>
  <w:style w:type="character" w:customStyle="1" w:styleId="54">
    <w:name w:val="标题 1 字符"/>
    <w:basedOn w:val="12"/>
    <w:link w:val="2"/>
    <w:qFormat/>
    <w:uiPriority w:val="0"/>
    <w:rPr>
      <w:b/>
      <w:bCs/>
      <w:kern w:val="44"/>
      <w:sz w:val="44"/>
      <w:szCs w:val="44"/>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true">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false"/>
        </a:gradFill>
        <a:gradFill rotWithShape="true">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false"/>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true">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false"/>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16</Pages>
  <Words>1744</Words>
  <Characters>9945</Characters>
  <Lines>82</Lines>
  <Paragraphs>23</Paragraphs>
  <TotalTime>42</TotalTime>
  <ScaleCrop>false</ScaleCrop>
  <LinksUpToDate>false</LinksUpToDate>
  <CharactersWithSpaces>11666</CharactersWithSpaces>
  <Application>WPS Office_11.8.2.10554_F1E327BC-269C-435d-A152-05C5408002CA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2024-08-01T16:47:00Z</dcterms:created>
  <dc:creator>wwei</dc:creator>
  <cp:lastModifiedBy>JTB</cp:lastModifiedBy>
  <cp:lastPrinted>2023-11-02T16:57:00Z</cp:lastPrinted>
  <dcterms:modified xsi:type="dcterms:W3CDTF">2024-08-01T15:14:22Z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2052-11.8.2.10554</vt:lpwstr>
  </property>
  <property fmtid="{D5CDD505-2E9C-101B-9397-08002B2CF9AE}" pid="3" name="ICV">
    <vt:lpwstr>5202D59B661A46188DE4B72D51FF0E32_13</vt:lpwstr>
  </property>
</Properties>
</file>