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25FC33">
      <w:pPr>
        <w:snapToGrid w:val="0"/>
        <w:spacing w:line="640" w:lineRule="exact"/>
        <w:ind w:right="57"/>
        <w:jc w:val="center"/>
        <w:rPr>
          <w:rFonts w:hint="eastAsia" w:ascii="方正小标宋_GBK" w:hAnsi="Calibri" w:eastAsia="方正小标宋_GBK" w:cs="Times New Roman"/>
          <w:snapToGrid w:val="0"/>
          <w:kern w:val="0"/>
          <w:sz w:val="44"/>
          <w:szCs w:val="44"/>
        </w:rPr>
      </w:pPr>
    </w:p>
    <w:p w14:paraId="6C7C609F">
      <w:pPr>
        <w:snapToGrid w:val="0"/>
        <w:spacing w:line="640" w:lineRule="exact"/>
        <w:ind w:right="57"/>
        <w:jc w:val="center"/>
        <w:rPr>
          <w:rFonts w:ascii="方正小标宋_GBK" w:hAnsi="Calibri" w:eastAsia="方正小标宋_GBK" w:cs="Times New Roman"/>
          <w:snapToGrid w:val="0"/>
          <w:kern w:val="0"/>
          <w:sz w:val="44"/>
          <w:szCs w:val="44"/>
        </w:rPr>
      </w:pPr>
      <w:r>
        <w:rPr>
          <w:rFonts w:hint="eastAsia" w:ascii="方正小标宋_GBK" w:hAnsi="Calibri" w:eastAsia="方正小标宋_GBK" w:cs="Times New Roman"/>
          <w:snapToGrid w:val="0"/>
          <w:kern w:val="0"/>
          <w:sz w:val="44"/>
          <w:szCs w:val="44"/>
        </w:rPr>
        <w:t>2026年度公路水运工程试验检测专业技术</w:t>
      </w:r>
    </w:p>
    <w:p w14:paraId="6AB72C9E">
      <w:pPr>
        <w:snapToGrid w:val="0"/>
        <w:spacing w:line="640" w:lineRule="exact"/>
        <w:ind w:right="57"/>
        <w:jc w:val="center"/>
        <w:rPr>
          <w:rFonts w:ascii="方正小标宋_GBK" w:hAnsi="Calibri" w:eastAsia="方正小标宋_GBK" w:cs="Times New Roman"/>
          <w:snapToGrid w:val="0"/>
          <w:kern w:val="0"/>
          <w:sz w:val="44"/>
          <w:szCs w:val="44"/>
        </w:rPr>
      </w:pPr>
      <w:r>
        <w:rPr>
          <w:rFonts w:hint="eastAsia" w:ascii="方正小标宋_GBK" w:hAnsi="Calibri" w:eastAsia="方正小标宋_GBK" w:cs="Times New Roman"/>
          <w:snapToGrid w:val="0"/>
          <w:kern w:val="0"/>
          <w:sz w:val="44"/>
          <w:szCs w:val="44"/>
        </w:rPr>
        <w:t>人员职业资格考试江苏考区考试公告</w:t>
      </w:r>
    </w:p>
    <w:p w14:paraId="23C23161">
      <w:pPr>
        <w:overflowPunct w:val="0"/>
        <w:spacing w:line="600" w:lineRule="exact"/>
        <w:rPr>
          <w:rFonts w:ascii="Calibri" w:hAnsi="Calibri" w:eastAsia="仿宋" w:cs="Times New Roman"/>
          <w:snapToGrid w:val="0"/>
          <w:kern w:val="0"/>
          <w:sz w:val="30"/>
        </w:rPr>
      </w:pPr>
    </w:p>
    <w:p w14:paraId="49F73FDB">
      <w:pPr>
        <w:overflowPunct w:val="0"/>
        <w:spacing w:line="600" w:lineRule="atLeast"/>
        <w:ind w:firstLine="640" w:firstLineChars="200"/>
        <w:rPr>
          <w:rFonts w:ascii="Times New Roman" w:hAnsi="Times New Roman" w:eastAsia="方正仿宋_GBK" w:cs="Times New Roman"/>
          <w:snapToGrid w:val="0"/>
          <w:kern w:val="0"/>
          <w:sz w:val="32"/>
        </w:rPr>
      </w:pPr>
      <w:r>
        <w:rPr>
          <w:rFonts w:ascii="Times New Roman" w:hAnsi="Times New Roman" w:eastAsia="方正仿宋_GBK" w:cs="Times New Roman"/>
          <w:snapToGrid w:val="0"/>
          <w:kern w:val="0"/>
          <w:sz w:val="32"/>
        </w:rPr>
        <w:t>202</w:t>
      </w:r>
      <w:r>
        <w:rPr>
          <w:rFonts w:hint="eastAsia" w:ascii="Times New Roman" w:hAnsi="Times New Roman" w:eastAsia="方正仿宋_GBK" w:cs="Times New Roman"/>
          <w:snapToGrid w:val="0"/>
          <w:kern w:val="0"/>
          <w:sz w:val="32"/>
        </w:rPr>
        <w:t>6</w:t>
      </w:r>
      <w:r>
        <w:rPr>
          <w:rFonts w:ascii="Times New Roman" w:hAnsi="Times New Roman" w:eastAsia="方正仿宋_GBK" w:cs="Times New Roman"/>
          <w:snapToGrid w:val="0"/>
          <w:kern w:val="0"/>
          <w:sz w:val="32"/>
        </w:rPr>
        <w:t>年度公路水运工程试验检测专业技术人员职业资格考试于202</w:t>
      </w:r>
      <w:r>
        <w:rPr>
          <w:rFonts w:hint="eastAsia" w:ascii="Times New Roman" w:hAnsi="Times New Roman" w:eastAsia="方正仿宋_GBK" w:cs="Times New Roman"/>
          <w:snapToGrid w:val="0"/>
          <w:kern w:val="0"/>
          <w:sz w:val="32"/>
        </w:rPr>
        <w:t>6</w:t>
      </w:r>
      <w:r>
        <w:rPr>
          <w:rFonts w:ascii="Times New Roman" w:hAnsi="Times New Roman" w:eastAsia="方正仿宋_GBK" w:cs="Times New Roman"/>
          <w:snapToGrid w:val="0"/>
          <w:kern w:val="0"/>
          <w:sz w:val="32"/>
        </w:rPr>
        <w:t>年10月2</w:t>
      </w:r>
      <w:r>
        <w:rPr>
          <w:rFonts w:hint="eastAsia" w:ascii="Times New Roman" w:hAnsi="Times New Roman" w:eastAsia="方正仿宋_GBK" w:cs="Times New Roman"/>
          <w:snapToGrid w:val="0"/>
          <w:kern w:val="0"/>
          <w:sz w:val="32"/>
        </w:rPr>
        <w:t>4</w:t>
      </w:r>
      <w:r>
        <w:rPr>
          <w:rFonts w:ascii="Times New Roman" w:hAnsi="Times New Roman" w:eastAsia="方正仿宋_GBK" w:cs="Times New Roman"/>
          <w:snapToGrid w:val="0"/>
          <w:kern w:val="0"/>
          <w:sz w:val="32"/>
        </w:rPr>
        <w:t>日至2</w:t>
      </w:r>
      <w:r>
        <w:rPr>
          <w:rFonts w:hint="eastAsia" w:ascii="Times New Roman" w:hAnsi="Times New Roman" w:eastAsia="方正仿宋_GBK" w:cs="Times New Roman"/>
          <w:snapToGrid w:val="0"/>
          <w:kern w:val="0"/>
          <w:sz w:val="32"/>
        </w:rPr>
        <w:t>5</w:t>
      </w:r>
      <w:r>
        <w:rPr>
          <w:rFonts w:ascii="Times New Roman" w:hAnsi="Times New Roman" w:eastAsia="方正仿宋_GBK" w:cs="Times New Roman"/>
          <w:snapToGrid w:val="0"/>
          <w:kern w:val="0"/>
          <w:sz w:val="32"/>
        </w:rPr>
        <w:t>日在南京举行。现就有关事项公告如下：</w:t>
      </w:r>
    </w:p>
    <w:p w14:paraId="29F4EE51">
      <w:pPr>
        <w:widowControl/>
        <w:numPr>
          <w:ilvl w:val="0"/>
          <w:numId w:val="2"/>
        </w:numPr>
        <w:spacing w:line="600" w:lineRule="atLeast"/>
        <w:rPr>
          <w:rFonts w:ascii="方正黑体_GBK" w:hAnsi="Calibri" w:eastAsia="方正黑体_GBK" w:cs="Times New Roman"/>
          <w:kern w:val="0"/>
          <w:sz w:val="32"/>
        </w:rPr>
      </w:pPr>
      <w:r>
        <w:rPr>
          <w:rFonts w:hint="eastAsia" w:ascii="方正黑体_GBK" w:hAnsi="Calibri" w:eastAsia="方正黑体_GBK" w:cs="Times New Roman"/>
          <w:kern w:val="0"/>
          <w:sz w:val="32"/>
        </w:rPr>
        <w:t>考试时间、级别和科目</w:t>
      </w:r>
    </w:p>
    <w:tbl>
      <w:tblPr>
        <w:tblStyle w:val="3"/>
        <w:tblpPr w:leftFromText="180" w:rightFromText="180" w:vertAnchor="text" w:horzAnchor="margin" w:tblpY="281"/>
        <w:tblW w:w="5000" w:type="pct"/>
        <w:tblInd w:w="0" w:type="dxa"/>
        <w:tblLayout w:type="autofit"/>
        <w:tblCellMar>
          <w:top w:w="0" w:type="dxa"/>
          <w:left w:w="108" w:type="dxa"/>
          <w:bottom w:w="0" w:type="dxa"/>
          <w:right w:w="108" w:type="dxa"/>
        </w:tblCellMar>
      </w:tblPr>
      <w:tblGrid>
        <w:gridCol w:w="1344"/>
        <w:gridCol w:w="1844"/>
        <w:gridCol w:w="1759"/>
        <w:gridCol w:w="2051"/>
        <w:gridCol w:w="1903"/>
      </w:tblGrid>
      <w:tr w14:paraId="2814DBC4">
        <w:tblPrEx>
          <w:tblCellMar>
            <w:top w:w="0" w:type="dxa"/>
            <w:left w:w="108" w:type="dxa"/>
            <w:bottom w:w="0" w:type="dxa"/>
            <w:right w:w="108" w:type="dxa"/>
          </w:tblCellMar>
        </w:tblPrEx>
        <w:trPr>
          <w:trHeight w:val="557" w:hRule="atLeast"/>
        </w:trPr>
        <w:tc>
          <w:tcPr>
            <w:tcW w:w="755" w:type="pct"/>
            <w:vMerge w:val="restart"/>
            <w:tcBorders>
              <w:top w:val="single" w:color="000000" w:sz="4" w:space="0"/>
              <w:left w:val="single" w:color="000000" w:sz="4" w:space="0"/>
              <w:bottom w:val="single" w:color="000000" w:sz="4" w:space="0"/>
              <w:right w:val="single" w:color="000000" w:sz="4" w:space="0"/>
              <w:tl2br w:val="single" w:color="auto" w:sz="4" w:space="0"/>
            </w:tcBorders>
            <w:vAlign w:val="center"/>
          </w:tcPr>
          <w:p w14:paraId="384B937C">
            <w:pPr>
              <w:spacing w:line="0" w:lineRule="atLeast"/>
              <w:rPr>
                <w:rFonts w:ascii="宋体" w:hAnsi="宋体" w:eastAsia="宋体" w:cs="Times New Roman"/>
                <w:b/>
                <w:kern w:val="0"/>
                <w:sz w:val="24"/>
              </w:rPr>
            </w:pPr>
            <w:r>
              <w:rPr>
                <w:rFonts w:hint="eastAsia" w:ascii="宋体" w:hAnsi="宋体" w:eastAsia="宋体" w:cs="Times New Roman"/>
                <w:kern w:val="0"/>
                <w:sz w:val="24"/>
              </w:rPr>
              <w:t xml:space="preserve">    </w:t>
            </w:r>
            <w:r>
              <w:rPr>
                <w:rFonts w:hint="eastAsia" w:ascii="宋体" w:hAnsi="宋体" w:eastAsia="宋体" w:cs="Times New Roman"/>
                <w:b/>
                <w:kern w:val="0"/>
                <w:sz w:val="24"/>
              </w:rPr>
              <w:t>时间</w:t>
            </w:r>
          </w:p>
          <w:p w14:paraId="0C6E9BDC">
            <w:pPr>
              <w:spacing w:line="0" w:lineRule="atLeast"/>
              <w:rPr>
                <w:rFonts w:ascii="宋体" w:hAnsi="宋体" w:eastAsia="宋体" w:cs="Times New Roman"/>
                <w:b/>
                <w:kern w:val="0"/>
                <w:sz w:val="24"/>
              </w:rPr>
            </w:pPr>
          </w:p>
          <w:p w14:paraId="06F279F2">
            <w:pPr>
              <w:spacing w:line="0" w:lineRule="atLeast"/>
              <w:rPr>
                <w:rFonts w:ascii="宋体" w:hAnsi="宋体" w:eastAsia="宋体" w:cs="Times New Roman"/>
                <w:kern w:val="0"/>
                <w:sz w:val="24"/>
              </w:rPr>
            </w:pPr>
            <w:r>
              <w:rPr>
                <w:rFonts w:hint="eastAsia" w:ascii="宋体" w:hAnsi="宋体" w:eastAsia="宋体" w:cs="Times New Roman"/>
                <w:b/>
                <w:kern w:val="0"/>
                <w:sz w:val="24"/>
              </w:rPr>
              <w:t>级别</w:t>
            </w:r>
          </w:p>
        </w:tc>
        <w:tc>
          <w:tcPr>
            <w:tcW w:w="2024" w:type="pct"/>
            <w:gridSpan w:val="2"/>
            <w:tcBorders>
              <w:top w:val="single" w:color="000000" w:sz="4" w:space="0"/>
              <w:left w:val="nil"/>
              <w:bottom w:val="single" w:color="000000" w:sz="4" w:space="0"/>
              <w:right w:val="single" w:color="000000" w:sz="4" w:space="0"/>
            </w:tcBorders>
            <w:vAlign w:val="center"/>
          </w:tcPr>
          <w:p w14:paraId="679904CD">
            <w:pPr>
              <w:spacing w:line="0" w:lineRule="atLeast"/>
              <w:jc w:val="center"/>
              <w:rPr>
                <w:rFonts w:ascii="宋体" w:hAnsi="宋体" w:eastAsia="Arial" w:cs="Times New Roman"/>
                <w:b/>
                <w:kern w:val="0"/>
                <w:sz w:val="24"/>
              </w:rPr>
            </w:pPr>
            <w:r>
              <w:rPr>
                <w:rFonts w:ascii="宋体" w:hAnsi="宋体" w:eastAsia="宋体" w:cs="Times New Roman"/>
                <w:b/>
                <w:kern w:val="0"/>
                <w:sz w:val="24"/>
              </w:rPr>
              <w:t>10</w:t>
            </w:r>
            <w:r>
              <w:rPr>
                <w:rFonts w:hint="eastAsia" w:ascii="宋体" w:hAnsi="宋体" w:eastAsia="宋体" w:cs="Times New Roman"/>
                <w:b/>
                <w:kern w:val="0"/>
                <w:sz w:val="24"/>
              </w:rPr>
              <w:t>月</w:t>
            </w:r>
            <w:r>
              <w:rPr>
                <w:rFonts w:ascii="宋体" w:hAnsi="宋体" w:eastAsia="宋体" w:cs="Times New Roman"/>
                <w:b/>
                <w:kern w:val="0"/>
                <w:sz w:val="24"/>
              </w:rPr>
              <w:t>2</w:t>
            </w:r>
            <w:r>
              <w:rPr>
                <w:rFonts w:hint="eastAsia" w:ascii="宋体" w:hAnsi="宋体" w:eastAsia="宋体" w:cs="Times New Roman"/>
                <w:b/>
                <w:kern w:val="0"/>
                <w:sz w:val="24"/>
              </w:rPr>
              <w:t>4日</w:t>
            </w:r>
          </w:p>
        </w:tc>
        <w:tc>
          <w:tcPr>
            <w:tcW w:w="2221" w:type="pct"/>
            <w:gridSpan w:val="2"/>
            <w:tcBorders>
              <w:top w:val="single" w:color="000000" w:sz="4" w:space="0"/>
              <w:left w:val="nil"/>
              <w:bottom w:val="single" w:color="000000" w:sz="4" w:space="0"/>
              <w:right w:val="single" w:color="000000" w:sz="4" w:space="0"/>
            </w:tcBorders>
            <w:vAlign w:val="center"/>
          </w:tcPr>
          <w:p w14:paraId="209AD91D">
            <w:pPr>
              <w:spacing w:line="0" w:lineRule="atLeast"/>
              <w:jc w:val="center"/>
              <w:rPr>
                <w:rFonts w:ascii="宋体" w:hAnsi="宋体" w:eastAsia="Arial" w:cs="Times New Roman"/>
                <w:b/>
                <w:kern w:val="0"/>
                <w:sz w:val="24"/>
              </w:rPr>
            </w:pPr>
            <w:r>
              <w:rPr>
                <w:rFonts w:ascii="宋体" w:hAnsi="宋体" w:eastAsia="宋体" w:cs="Times New Roman"/>
                <w:b/>
                <w:kern w:val="0"/>
                <w:sz w:val="24"/>
              </w:rPr>
              <w:t>10</w:t>
            </w:r>
            <w:r>
              <w:rPr>
                <w:rFonts w:hint="eastAsia" w:ascii="宋体" w:hAnsi="宋体" w:eastAsia="宋体" w:cs="Times New Roman"/>
                <w:b/>
                <w:kern w:val="0"/>
                <w:sz w:val="24"/>
              </w:rPr>
              <w:t>月</w:t>
            </w:r>
            <w:r>
              <w:rPr>
                <w:rFonts w:ascii="宋体" w:hAnsi="宋体" w:eastAsia="宋体" w:cs="Times New Roman"/>
                <w:b/>
                <w:kern w:val="0"/>
                <w:sz w:val="24"/>
              </w:rPr>
              <w:t>2</w:t>
            </w:r>
            <w:r>
              <w:rPr>
                <w:rFonts w:hint="eastAsia" w:ascii="宋体" w:hAnsi="宋体" w:eastAsia="宋体" w:cs="Times New Roman"/>
                <w:b/>
                <w:kern w:val="0"/>
                <w:sz w:val="24"/>
              </w:rPr>
              <w:t>5日</w:t>
            </w:r>
          </w:p>
        </w:tc>
      </w:tr>
      <w:tr w14:paraId="69E1E851">
        <w:tblPrEx>
          <w:tblCellMar>
            <w:top w:w="0" w:type="dxa"/>
            <w:left w:w="108" w:type="dxa"/>
            <w:bottom w:w="0" w:type="dxa"/>
            <w:right w:w="108" w:type="dxa"/>
          </w:tblCellMar>
        </w:tblPrEx>
        <w:trPr>
          <w:trHeight w:val="566" w:hRule="atLeast"/>
        </w:trPr>
        <w:tc>
          <w:tcPr>
            <w:tcW w:w="755" w:type="pct"/>
            <w:vMerge w:val="continue"/>
            <w:tcBorders>
              <w:top w:val="single" w:color="000000" w:sz="4" w:space="0"/>
              <w:left w:val="single" w:color="000000" w:sz="4" w:space="0"/>
              <w:bottom w:val="single" w:color="000000" w:sz="4" w:space="0"/>
              <w:right w:val="single" w:color="000000" w:sz="4" w:space="0"/>
            </w:tcBorders>
            <w:vAlign w:val="center"/>
          </w:tcPr>
          <w:p w14:paraId="5DD4B3AD">
            <w:pPr>
              <w:spacing w:line="0" w:lineRule="atLeast"/>
              <w:rPr>
                <w:rFonts w:ascii="宋体" w:hAnsi="宋体" w:eastAsia="Arial" w:cs="Times New Roman"/>
                <w:kern w:val="0"/>
                <w:sz w:val="24"/>
              </w:rPr>
            </w:pPr>
          </w:p>
        </w:tc>
        <w:tc>
          <w:tcPr>
            <w:tcW w:w="1036" w:type="pct"/>
            <w:tcBorders>
              <w:top w:val="nil"/>
              <w:left w:val="nil"/>
              <w:bottom w:val="single" w:color="000000" w:sz="4" w:space="0"/>
              <w:right w:val="single" w:color="000000" w:sz="4" w:space="0"/>
            </w:tcBorders>
            <w:vAlign w:val="center"/>
          </w:tcPr>
          <w:p w14:paraId="3138786E">
            <w:pPr>
              <w:spacing w:line="0" w:lineRule="atLeast"/>
              <w:jc w:val="center"/>
              <w:rPr>
                <w:rFonts w:ascii="宋体" w:hAnsi="宋体" w:eastAsia="Arial" w:cs="Times New Roman"/>
                <w:b/>
                <w:kern w:val="0"/>
                <w:sz w:val="24"/>
              </w:rPr>
            </w:pPr>
            <w:r>
              <w:rPr>
                <w:rFonts w:hint="eastAsia" w:ascii="宋体" w:hAnsi="宋体" w:eastAsia="宋体" w:cs="Times New Roman"/>
                <w:b/>
                <w:kern w:val="0"/>
                <w:sz w:val="24"/>
              </w:rPr>
              <w:t>上午</w:t>
            </w:r>
          </w:p>
          <w:p w14:paraId="7642F6D7">
            <w:pPr>
              <w:spacing w:line="0" w:lineRule="atLeast"/>
              <w:jc w:val="center"/>
              <w:rPr>
                <w:rFonts w:ascii="宋体" w:hAnsi="宋体" w:eastAsia="Arial" w:cs="Times New Roman"/>
                <w:kern w:val="0"/>
                <w:sz w:val="24"/>
              </w:rPr>
            </w:pPr>
            <w:r>
              <w:rPr>
                <w:rFonts w:hint="eastAsia" w:ascii="宋体" w:hAnsi="宋体" w:eastAsia="宋体" w:cs="Times New Roman"/>
                <w:b/>
                <w:kern w:val="0"/>
                <w:sz w:val="24"/>
              </w:rPr>
              <w:t>10:00-12:00</w:t>
            </w:r>
          </w:p>
        </w:tc>
        <w:tc>
          <w:tcPr>
            <w:tcW w:w="988" w:type="pct"/>
            <w:tcBorders>
              <w:top w:val="nil"/>
              <w:left w:val="nil"/>
              <w:bottom w:val="single" w:color="000000" w:sz="4" w:space="0"/>
              <w:right w:val="single" w:color="000000" w:sz="4" w:space="0"/>
            </w:tcBorders>
            <w:vAlign w:val="center"/>
          </w:tcPr>
          <w:p w14:paraId="0CE29582">
            <w:pPr>
              <w:spacing w:line="0" w:lineRule="atLeast"/>
              <w:jc w:val="center"/>
              <w:rPr>
                <w:rFonts w:ascii="宋体" w:hAnsi="宋体" w:eastAsia="Arial" w:cs="Times New Roman"/>
                <w:b/>
                <w:kern w:val="0"/>
                <w:sz w:val="24"/>
              </w:rPr>
            </w:pPr>
            <w:r>
              <w:rPr>
                <w:rFonts w:hint="eastAsia" w:ascii="宋体" w:hAnsi="宋体" w:eastAsia="宋体" w:cs="Times New Roman"/>
                <w:b/>
                <w:kern w:val="0"/>
                <w:sz w:val="24"/>
              </w:rPr>
              <w:t>下午</w:t>
            </w:r>
          </w:p>
          <w:p w14:paraId="26E966CB">
            <w:pPr>
              <w:spacing w:line="0" w:lineRule="atLeast"/>
              <w:jc w:val="center"/>
              <w:rPr>
                <w:rFonts w:ascii="宋体" w:hAnsi="宋体" w:eastAsia="Arial" w:cs="Times New Roman"/>
                <w:b/>
                <w:kern w:val="0"/>
                <w:sz w:val="24"/>
              </w:rPr>
            </w:pPr>
            <w:r>
              <w:rPr>
                <w:rFonts w:ascii="宋体" w:hAnsi="宋体" w:eastAsia="宋体" w:cs="Times New Roman"/>
                <w:b/>
                <w:kern w:val="0"/>
                <w:sz w:val="24"/>
              </w:rPr>
              <w:t>2</w:t>
            </w:r>
            <w:r>
              <w:rPr>
                <w:rFonts w:hint="eastAsia" w:ascii="宋体" w:hAnsi="宋体" w:eastAsia="宋体" w:cs="Times New Roman"/>
                <w:b/>
                <w:kern w:val="0"/>
                <w:sz w:val="24"/>
              </w:rPr>
              <w:t>:30-</w:t>
            </w:r>
            <w:r>
              <w:rPr>
                <w:rFonts w:ascii="宋体" w:hAnsi="宋体" w:eastAsia="宋体" w:cs="Times New Roman"/>
                <w:b/>
                <w:kern w:val="0"/>
                <w:sz w:val="24"/>
              </w:rPr>
              <w:t>5</w:t>
            </w:r>
            <w:r>
              <w:rPr>
                <w:rFonts w:hint="eastAsia" w:ascii="宋体" w:hAnsi="宋体" w:eastAsia="宋体" w:cs="Times New Roman"/>
                <w:b/>
                <w:kern w:val="0"/>
                <w:sz w:val="24"/>
              </w:rPr>
              <w:t>:00</w:t>
            </w:r>
          </w:p>
        </w:tc>
        <w:tc>
          <w:tcPr>
            <w:tcW w:w="1152" w:type="pct"/>
            <w:tcBorders>
              <w:top w:val="single" w:color="000000" w:sz="4" w:space="0"/>
              <w:left w:val="nil"/>
              <w:bottom w:val="single" w:color="000000" w:sz="4" w:space="0"/>
              <w:right w:val="single" w:color="000000" w:sz="4" w:space="0"/>
            </w:tcBorders>
            <w:vAlign w:val="center"/>
          </w:tcPr>
          <w:p w14:paraId="05CE2E96">
            <w:pPr>
              <w:spacing w:line="0" w:lineRule="atLeast"/>
              <w:jc w:val="center"/>
              <w:rPr>
                <w:rFonts w:ascii="宋体" w:hAnsi="宋体" w:eastAsia="Arial" w:cs="Times New Roman"/>
                <w:b/>
                <w:kern w:val="0"/>
                <w:sz w:val="24"/>
              </w:rPr>
            </w:pPr>
            <w:r>
              <w:rPr>
                <w:rFonts w:hint="eastAsia" w:ascii="宋体" w:hAnsi="宋体" w:eastAsia="宋体" w:cs="Times New Roman"/>
                <w:b/>
                <w:kern w:val="0"/>
                <w:sz w:val="24"/>
              </w:rPr>
              <w:t>上午</w:t>
            </w:r>
          </w:p>
          <w:p w14:paraId="60BB9D3C">
            <w:pPr>
              <w:spacing w:line="0" w:lineRule="atLeast"/>
              <w:jc w:val="center"/>
              <w:rPr>
                <w:rFonts w:ascii="宋体" w:hAnsi="宋体" w:eastAsia="Arial" w:cs="Times New Roman"/>
                <w:b/>
                <w:kern w:val="0"/>
                <w:sz w:val="24"/>
              </w:rPr>
            </w:pPr>
            <w:r>
              <w:rPr>
                <w:rFonts w:hint="eastAsia" w:ascii="宋体" w:hAnsi="宋体" w:eastAsia="宋体" w:cs="Times New Roman"/>
                <w:b/>
                <w:kern w:val="0"/>
                <w:sz w:val="24"/>
              </w:rPr>
              <w:t>9:30-12:00</w:t>
            </w:r>
          </w:p>
        </w:tc>
        <w:tc>
          <w:tcPr>
            <w:tcW w:w="1069" w:type="pct"/>
            <w:tcBorders>
              <w:top w:val="single" w:color="000000" w:sz="4" w:space="0"/>
              <w:left w:val="nil"/>
              <w:bottom w:val="single" w:color="000000" w:sz="4" w:space="0"/>
              <w:right w:val="single" w:color="000000" w:sz="4" w:space="0"/>
            </w:tcBorders>
            <w:vAlign w:val="center"/>
          </w:tcPr>
          <w:p w14:paraId="54C28101">
            <w:pPr>
              <w:spacing w:line="0" w:lineRule="atLeast"/>
              <w:jc w:val="center"/>
              <w:rPr>
                <w:rFonts w:ascii="宋体" w:hAnsi="宋体" w:eastAsia="Arial" w:cs="Times New Roman"/>
                <w:b/>
                <w:kern w:val="0"/>
                <w:sz w:val="24"/>
              </w:rPr>
            </w:pPr>
            <w:r>
              <w:rPr>
                <w:rFonts w:hint="eastAsia" w:ascii="宋体" w:hAnsi="宋体" w:eastAsia="宋体" w:cs="Times New Roman"/>
                <w:b/>
                <w:kern w:val="0"/>
                <w:sz w:val="24"/>
              </w:rPr>
              <w:t>下午</w:t>
            </w:r>
          </w:p>
          <w:p w14:paraId="0832CE99">
            <w:pPr>
              <w:spacing w:line="0" w:lineRule="atLeast"/>
              <w:jc w:val="center"/>
              <w:rPr>
                <w:rFonts w:ascii="宋体" w:hAnsi="宋体" w:eastAsia="Arial" w:cs="Times New Roman"/>
                <w:b/>
                <w:kern w:val="0"/>
                <w:sz w:val="24"/>
              </w:rPr>
            </w:pPr>
            <w:r>
              <w:rPr>
                <w:rFonts w:ascii="宋体" w:hAnsi="宋体" w:eastAsia="宋体" w:cs="Times New Roman"/>
                <w:b/>
                <w:kern w:val="0"/>
                <w:sz w:val="24"/>
              </w:rPr>
              <w:t>2</w:t>
            </w:r>
            <w:r>
              <w:rPr>
                <w:rFonts w:hint="eastAsia" w:ascii="宋体" w:hAnsi="宋体" w:eastAsia="宋体" w:cs="Times New Roman"/>
                <w:b/>
                <w:kern w:val="0"/>
                <w:sz w:val="24"/>
              </w:rPr>
              <w:t>:30-</w:t>
            </w:r>
            <w:r>
              <w:rPr>
                <w:rFonts w:ascii="宋体" w:hAnsi="宋体" w:eastAsia="宋体" w:cs="Times New Roman"/>
                <w:b/>
                <w:kern w:val="0"/>
                <w:sz w:val="24"/>
              </w:rPr>
              <w:t>5</w:t>
            </w:r>
            <w:r>
              <w:rPr>
                <w:rFonts w:hint="eastAsia" w:ascii="宋体" w:hAnsi="宋体" w:eastAsia="宋体" w:cs="Times New Roman"/>
                <w:b/>
                <w:kern w:val="0"/>
                <w:sz w:val="24"/>
              </w:rPr>
              <w:t>:00</w:t>
            </w:r>
          </w:p>
        </w:tc>
      </w:tr>
      <w:tr w14:paraId="237A392B">
        <w:tblPrEx>
          <w:tblCellMar>
            <w:top w:w="0" w:type="dxa"/>
            <w:left w:w="108" w:type="dxa"/>
            <w:bottom w:w="0" w:type="dxa"/>
            <w:right w:w="108" w:type="dxa"/>
          </w:tblCellMar>
        </w:tblPrEx>
        <w:trPr>
          <w:trHeight w:val="567" w:hRule="exact"/>
        </w:trPr>
        <w:tc>
          <w:tcPr>
            <w:tcW w:w="755" w:type="pct"/>
            <w:vMerge w:val="restart"/>
            <w:tcBorders>
              <w:top w:val="nil"/>
              <w:left w:val="single" w:color="000000" w:sz="4" w:space="0"/>
              <w:right w:val="single" w:color="000000" w:sz="4" w:space="0"/>
            </w:tcBorders>
            <w:vAlign w:val="center"/>
          </w:tcPr>
          <w:p w14:paraId="0028E901">
            <w:pPr>
              <w:spacing w:line="0" w:lineRule="atLeast"/>
              <w:jc w:val="center"/>
              <w:rPr>
                <w:rFonts w:ascii="宋体" w:hAnsi="宋体" w:eastAsia="Arial" w:cs="Times New Roman"/>
                <w:b/>
                <w:kern w:val="0"/>
                <w:sz w:val="24"/>
              </w:rPr>
            </w:pPr>
            <w:r>
              <w:rPr>
                <w:rFonts w:hint="eastAsia" w:ascii="宋体" w:hAnsi="宋体" w:eastAsia="宋体" w:cs="Times New Roman"/>
                <w:b/>
                <w:kern w:val="0"/>
                <w:sz w:val="24"/>
              </w:rPr>
              <w:t>助理试验检测师</w:t>
            </w:r>
          </w:p>
        </w:tc>
        <w:tc>
          <w:tcPr>
            <w:tcW w:w="1036" w:type="pct"/>
            <w:vMerge w:val="restart"/>
            <w:tcBorders>
              <w:top w:val="nil"/>
              <w:left w:val="nil"/>
              <w:right w:val="single" w:color="000000" w:sz="4" w:space="0"/>
            </w:tcBorders>
            <w:vAlign w:val="center"/>
          </w:tcPr>
          <w:p w14:paraId="25D73ED9">
            <w:pPr>
              <w:spacing w:line="0" w:lineRule="atLeast"/>
              <w:jc w:val="center"/>
              <w:rPr>
                <w:rFonts w:ascii="宋体" w:hAnsi="宋体" w:eastAsia="Arial" w:cs="Times New Roman"/>
                <w:kern w:val="0"/>
                <w:sz w:val="24"/>
              </w:rPr>
            </w:pPr>
            <w:r>
              <w:rPr>
                <w:rFonts w:hint="eastAsia" w:ascii="宋体" w:hAnsi="宋体" w:eastAsia="宋体" w:cs="Times New Roman"/>
                <w:kern w:val="0"/>
                <w:sz w:val="24"/>
              </w:rPr>
              <w:t>公共基础</w:t>
            </w:r>
          </w:p>
        </w:tc>
        <w:tc>
          <w:tcPr>
            <w:tcW w:w="988" w:type="pct"/>
            <w:vMerge w:val="restart"/>
            <w:tcBorders>
              <w:top w:val="nil"/>
              <w:left w:val="nil"/>
              <w:right w:val="single" w:color="000000" w:sz="4" w:space="0"/>
            </w:tcBorders>
            <w:vAlign w:val="center"/>
          </w:tcPr>
          <w:p w14:paraId="05EB74B1">
            <w:pPr>
              <w:spacing w:line="0" w:lineRule="atLeast"/>
              <w:jc w:val="center"/>
              <w:rPr>
                <w:rFonts w:ascii="宋体" w:hAnsi="宋体" w:eastAsia="Arial" w:cs="Times New Roman"/>
                <w:kern w:val="0"/>
                <w:sz w:val="24"/>
              </w:rPr>
            </w:pPr>
            <w:r>
              <w:rPr>
                <w:rFonts w:hint="eastAsia" w:ascii="宋体" w:hAnsi="宋体" w:eastAsia="宋体" w:cs="Times New Roman"/>
                <w:kern w:val="0"/>
                <w:sz w:val="24"/>
              </w:rPr>
              <w:t>道路工程</w:t>
            </w:r>
          </w:p>
        </w:tc>
        <w:tc>
          <w:tcPr>
            <w:tcW w:w="1152" w:type="pct"/>
            <w:tcBorders>
              <w:top w:val="nil"/>
              <w:left w:val="nil"/>
              <w:bottom w:val="single" w:color="auto" w:sz="4" w:space="0"/>
              <w:right w:val="single" w:color="000000" w:sz="4" w:space="0"/>
            </w:tcBorders>
            <w:vAlign w:val="center"/>
          </w:tcPr>
          <w:p w14:paraId="5EC43785">
            <w:pPr>
              <w:spacing w:line="0" w:lineRule="atLeast"/>
              <w:jc w:val="center"/>
              <w:rPr>
                <w:rFonts w:ascii="宋体" w:hAnsi="宋体" w:eastAsia="Arial" w:cs="Times New Roman"/>
                <w:kern w:val="0"/>
                <w:sz w:val="24"/>
              </w:rPr>
            </w:pPr>
            <w:r>
              <w:rPr>
                <w:rFonts w:hint="eastAsia" w:ascii="宋体" w:hAnsi="宋体" w:eastAsia="宋体" w:cs="Times New Roman"/>
                <w:kern w:val="0"/>
                <w:sz w:val="24"/>
              </w:rPr>
              <w:t>桥梁隧道工程</w:t>
            </w:r>
          </w:p>
        </w:tc>
        <w:tc>
          <w:tcPr>
            <w:tcW w:w="1069" w:type="pct"/>
            <w:tcBorders>
              <w:top w:val="nil"/>
              <w:left w:val="nil"/>
              <w:bottom w:val="single" w:color="auto" w:sz="4" w:space="0"/>
              <w:right w:val="single" w:color="000000" w:sz="4" w:space="0"/>
            </w:tcBorders>
            <w:vAlign w:val="center"/>
          </w:tcPr>
          <w:p w14:paraId="4667E5DC">
            <w:pPr>
              <w:spacing w:line="0" w:lineRule="atLeast"/>
              <w:jc w:val="center"/>
              <w:rPr>
                <w:rFonts w:ascii="宋体" w:hAnsi="宋体" w:eastAsia="宋体" w:cs="Times New Roman"/>
                <w:kern w:val="0"/>
                <w:sz w:val="24"/>
              </w:rPr>
            </w:pPr>
            <w:r>
              <w:rPr>
                <w:rFonts w:hint="eastAsia" w:ascii="宋体" w:hAnsi="宋体" w:eastAsia="宋体" w:cs="Times New Roman"/>
                <w:kern w:val="0"/>
                <w:sz w:val="24"/>
              </w:rPr>
              <w:t>交通工程</w:t>
            </w:r>
          </w:p>
        </w:tc>
      </w:tr>
      <w:tr w14:paraId="3C7655E9">
        <w:tblPrEx>
          <w:tblCellMar>
            <w:top w:w="0" w:type="dxa"/>
            <w:left w:w="108" w:type="dxa"/>
            <w:bottom w:w="0" w:type="dxa"/>
            <w:right w:w="108" w:type="dxa"/>
          </w:tblCellMar>
        </w:tblPrEx>
        <w:trPr>
          <w:trHeight w:val="567" w:hRule="exact"/>
        </w:trPr>
        <w:tc>
          <w:tcPr>
            <w:tcW w:w="755" w:type="pct"/>
            <w:vMerge w:val="continue"/>
            <w:tcBorders>
              <w:left w:val="single" w:color="000000" w:sz="4" w:space="0"/>
              <w:bottom w:val="single" w:color="000000" w:sz="4" w:space="0"/>
              <w:right w:val="single" w:color="000000" w:sz="4" w:space="0"/>
            </w:tcBorders>
            <w:vAlign w:val="center"/>
          </w:tcPr>
          <w:p w14:paraId="70AFFD06">
            <w:pPr>
              <w:spacing w:line="0" w:lineRule="atLeast"/>
              <w:jc w:val="center"/>
              <w:rPr>
                <w:rFonts w:ascii="宋体" w:hAnsi="宋体" w:eastAsia="宋体" w:cs="Times New Roman"/>
                <w:b/>
                <w:kern w:val="0"/>
                <w:sz w:val="24"/>
              </w:rPr>
            </w:pPr>
          </w:p>
        </w:tc>
        <w:tc>
          <w:tcPr>
            <w:tcW w:w="1036" w:type="pct"/>
            <w:vMerge w:val="continue"/>
            <w:tcBorders>
              <w:left w:val="nil"/>
              <w:bottom w:val="single" w:color="000000" w:sz="4" w:space="0"/>
              <w:right w:val="single" w:color="000000" w:sz="4" w:space="0"/>
            </w:tcBorders>
            <w:vAlign w:val="center"/>
          </w:tcPr>
          <w:p w14:paraId="051CB8E6">
            <w:pPr>
              <w:spacing w:line="0" w:lineRule="atLeast"/>
              <w:jc w:val="center"/>
              <w:rPr>
                <w:rFonts w:ascii="宋体" w:hAnsi="宋体" w:eastAsia="宋体" w:cs="Times New Roman"/>
                <w:kern w:val="0"/>
                <w:sz w:val="24"/>
              </w:rPr>
            </w:pPr>
          </w:p>
        </w:tc>
        <w:tc>
          <w:tcPr>
            <w:tcW w:w="988" w:type="pct"/>
            <w:vMerge w:val="continue"/>
            <w:tcBorders>
              <w:left w:val="nil"/>
              <w:bottom w:val="single" w:color="000000" w:sz="4" w:space="0"/>
              <w:right w:val="single" w:color="000000" w:sz="4" w:space="0"/>
            </w:tcBorders>
            <w:vAlign w:val="center"/>
          </w:tcPr>
          <w:p w14:paraId="3314EDC3">
            <w:pPr>
              <w:spacing w:line="0" w:lineRule="atLeast"/>
              <w:jc w:val="center"/>
              <w:rPr>
                <w:rFonts w:ascii="宋体" w:hAnsi="宋体" w:eastAsia="宋体" w:cs="Times New Roman"/>
                <w:kern w:val="0"/>
                <w:sz w:val="24"/>
              </w:rPr>
            </w:pPr>
          </w:p>
        </w:tc>
        <w:tc>
          <w:tcPr>
            <w:tcW w:w="1152" w:type="pct"/>
            <w:tcBorders>
              <w:top w:val="single" w:color="auto" w:sz="4" w:space="0"/>
              <w:left w:val="nil"/>
              <w:bottom w:val="single" w:color="000000" w:sz="4" w:space="0"/>
              <w:right w:val="single" w:color="000000" w:sz="4" w:space="0"/>
            </w:tcBorders>
            <w:vAlign w:val="center"/>
          </w:tcPr>
          <w:p w14:paraId="5BA2EC1B">
            <w:pPr>
              <w:spacing w:line="0" w:lineRule="atLeast"/>
              <w:jc w:val="center"/>
              <w:rPr>
                <w:rFonts w:ascii="宋体" w:hAnsi="宋体" w:eastAsia="宋体" w:cs="Times New Roman"/>
                <w:kern w:val="0"/>
                <w:sz w:val="24"/>
              </w:rPr>
            </w:pPr>
            <w:r>
              <w:rPr>
                <w:rFonts w:hint="eastAsia" w:ascii="宋体" w:hAnsi="宋体" w:eastAsia="宋体" w:cs="Times New Roman"/>
                <w:kern w:val="0"/>
                <w:sz w:val="24"/>
              </w:rPr>
              <w:t>水运结构与地基</w:t>
            </w:r>
          </w:p>
        </w:tc>
        <w:tc>
          <w:tcPr>
            <w:tcW w:w="1069" w:type="pct"/>
            <w:tcBorders>
              <w:top w:val="single" w:color="auto" w:sz="4" w:space="0"/>
              <w:left w:val="nil"/>
              <w:bottom w:val="single" w:color="000000" w:sz="4" w:space="0"/>
              <w:right w:val="single" w:color="000000" w:sz="4" w:space="0"/>
            </w:tcBorders>
            <w:vAlign w:val="center"/>
          </w:tcPr>
          <w:p w14:paraId="3B25974D">
            <w:pPr>
              <w:spacing w:line="0" w:lineRule="atLeast"/>
              <w:jc w:val="center"/>
              <w:rPr>
                <w:rFonts w:ascii="宋体" w:hAnsi="宋体" w:eastAsia="宋体" w:cs="Times New Roman"/>
                <w:kern w:val="0"/>
                <w:sz w:val="24"/>
              </w:rPr>
            </w:pPr>
            <w:r>
              <w:rPr>
                <w:rFonts w:hint="eastAsia" w:ascii="宋体" w:hAnsi="宋体" w:eastAsia="宋体" w:cs="Times New Roman"/>
                <w:kern w:val="0"/>
                <w:sz w:val="24"/>
              </w:rPr>
              <w:t>水运材料</w:t>
            </w:r>
          </w:p>
        </w:tc>
      </w:tr>
      <w:tr w14:paraId="02E2D854">
        <w:tblPrEx>
          <w:tblCellMar>
            <w:top w:w="0" w:type="dxa"/>
            <w:left w:w="108" w:type="dxa"/>
            <w:bottom w:w="0" w:type="dxa"/>
            <w:right w:w="108" w:type="dxa"/>
          </w:tblCellMar>
        </w:tblPrEx>
        <w:trPr>
          <w:trHeight w:val="567" w:hRule="exact"/>
        </w:trPr>
        <w:tc>
          <w:tcPr>
            <w:tcW w:w="755" w:type="pct"/>
            <w:vMerge w:val="restart"/>
            <w:tcBorders>
              <w:top w:val="nil"/>
              <w:left w:val="single" w:color="000000" w:sz="4" w:space="0"/>
              <w:right w:val="single" w:color="000000" w:sz="4" w:space="0"/>
            </w:tcBorders>
            <w:vAlign w:val="center"/>
          </w:tcPr>
          <w:p w14:paraId="2BFF545C">
            <w:pPr>
              <w:spacing w:line="0" w:lineRule="atLeast"/>
              <w:jc w:val="center"/>
              <w:rPr>
                <w:rFonts w:ascii="宋体" w:hAnsi="宋体" w:eastAsia="宋体" w:cs="Times New Roman"/>
                <w:b/>
                <w:kern w:val="0"/>
                <w:sz w:val="24"/>
              </w:rPr>
            </w:pPr>
            <w:r>
              <w:rPr>
                <w:rFonts w:hint="eastAsia" w:ascii="宋体" w:hAnsi="宋体" w:eastAsia="宋体" w:cs="Times New Roman"/>
                <w:b/>
                <w:kern w:val="0"/>
                <w:sz w:val="24"/>
              </w:rPr>
              <w:t>试验</w:t>
            </w:r>
          </w:p>
          <w:p w14:paraId="105E6E6A">
            <w:pPr>
              <w:spacing w:line="0" w:lineRule="atLeast"/>
              <w:jc w:val="center"/>
              <w:rPr>
                <w:rFonts w:ascii="宋体" w:hAnsi="宋体" w:eastAsia="Arial" w:cs="Times New Roman"/>
                <w:b/>
                <w:kern w:val="0"/>
                <w:sz w:val="24"/>
              </w:rPr>
            </w:pPr>
            <w:r>
              <w:rPr>
                <w:rFonts w:hint="eastAsia" w:ascii="宋体" w:hAnsi="宋体" w:eastAsia="宋体" w:cs="Times New Roman"/>
                <w:b/>
                <w:kern w:val="0"/>
                <w:sz w:val="24"/>
              </w:rPr>
              <w:t>检测师</w:t>
            </w:r>
          </w:p>
        </w:tc>
        <w:tc>
          <w:tcPr>
            <w:tcW w:w="1036" w:type="pct"/>
            <w:vMerge w:val="restart"/>
            <w:tcBorders>
              <w:top w:val="nil"/>
              <w:left w:val="nil"/>
              <w:right w:val="single" w:color="000000" w:sz="4" w:space="0"/>
            </w:tcBorders>
            <w:vAlign w:val="center"/>
          </w:tcPr>
          <w:p w14:paraId="31B3A62A">
            <w:pPr>
              <w:spacing w:line="0" w:lineRule="atLeast"/>
              <w:jc w:val="center"/>
              <w:rPr>
                <w:rFonts w:ascii="宋体" w:hAnsi="宋体" w:eastAsia="宋体" w:cs="Times New Roman"/>
                <w:kern w:val="0"/>
                <w:sz w:val="24"/>
              </w:rPr>
            </w:pPr>
            <w:r>
              <w:rPr>
                <w:rFonts w:hint="eastAsia" w:ascii="宋体" w:hAnsi="宋体" w:eastAsia="宋体" w:cs="Times New Roman"/>
                <w:kern w:val="0"/>
                <w:sz w:val="24"/>
              </w:rPr>
              <w:t>公共基础</w:t>
            </w:r>
          </w:p>
        </w:tc>
        <w:tc>
          <w:tcPr>
            <w:tcW w:w="988" w:type="pct"/>
            <w:vMerge w:val="restart"/>
            <w:tcBorders>
              <w:top w:val="nil"/>
              <w:left w:val="nil"/>
              <w:right w:val="single" w:color="000000" w:sz="4" w:space="0"/>
            </w:tcBorders>
            <w:vAlign w:val="center"/>
          </w:tcPr>
          <w:p w14:paraId="3E59B996">
            <w:pPr>
              <w:spacing w:line="0" w:lineRule="atLeast"/>
              <w:jc w:val="center"/>
              <w:rPr>
                <w:rFonts w:ascii="宋体" w:hAnsi="宋体" w:eastAsia="Arial" w:cs="Times New Roman"/>
                <w:kern w:val="0"/>
                <w:sz w:val="24"/>
              </w:rPr>
            </w:pPr>
            <w:r>
              <w:rPr>
                <w:rFonts w:hint="eastAsia" w:ascii="宋体" w:hAnsi="宋体" w:eastAsia="宋体" w:cs="Times New Roman"/>
                <w:kern w:val="0"/>
                <w:sz w:val="24"/>
              </w:rPr>
              <w:t>道路工程</w:t>
            </w:r>
          </w:p>
        </w:tc>
        <w:tc>
          <w:tcPr>
            <w:tcW w:w="1152" w:type="pct"/>
            <w:tcBorders>
              <w:top w:val="nil"/>
              <w:left w:val="nil"/>
              <w:bottom w:val="single" w:color="auto" w:sz="4" w:space="0"/>
              <w:right w:val="single" w:color="000000" w:sz="4" w:space="0"/>
            </w:tcBorders>
            <w:vAlign w:val="center"/>
          </w:tcPr>
          <w:p w14:paraId="7F9C3C28">
            <w:pPr>
              <w:spacing w:line="0" w:lineRule="atLeast"/>
              <w:jc w:val="center"/>
              <w:rPr>
                <w:rFonts w:ascii="宋体" w:hAnsi="宋体" w:eastAsia="Arial" w:cs="Times New Roman"/>
                <w:kern w:val="0"/>
                <w:sz w:val="24"/>
              </w:rPr>
            </w:pPr>
            <w:r>
              <w:rPr>
                <w:rFonts w:hint="eastAsia" w:ascii="宋体" w:hAnsi="宋体" w:eastAsia="宋体" w:cs="Times New Roman"/>
                <w:kern w:val="0"/>
                <w:sz w:val="24"/>
              </w:rPr>
              <w:t>桥梁隧道工程</w:t>
            </w:r>
          </w:p>
        </w:tc>
        <w:tc>
          <w:tcPr>
            <w:tcW w:w="1069" w:type="pct"/>
            <w:tcBorders>
              <w:top w:val="nil"/>
              <w:left w:val="nil"/>
              <w:bottom w:val="single" w:color="auto" w:sz="4" w:space="0"/>
              <w:right w:val="single" w:color="000000" w:sz="4" w:space="0"/>
            </w:tcBorders>
            <w:vAlign w:val="center"/>
          </w:tcPr>
          <w:p w14:paraId="278B5B19">
            <w:pPr>
              <w:spacing w:line="0" w:lineRule="atLeast"/>
              <w:jc w:val="center"/>
              <w:rPr>
                <w:rFonts w:ascii="宋体" w:hAnsi="宋体" w:eastAsia="宋体" w:cs="Times New Roman"/>
                <w:kern w:val="0"/>
                <w:sz w:val="24"/>
              </w:rPr>
            </w:pPr>
            <w:r>
              <w:rPr>
                <w:rFonts w:hint="eastAsia" w:ascii="宋体" w:hAnsi="宋体" w:eastAsia="宋体" w:cs="Times New Roman"/>
                <w:kern w:val="0"/>
                <w:sz w:val="24"/>
              </w:rPr>
              <w:t>交通工程</w:t>
            </w:r>
          </w:p>
        </w:tc>
      </w:tr>
      <w:tr w14:paraId="5413BE69">
        <w:tblPrEx>
          <w:tblCellMar>
            <w:top w:w="0" w:type="dxa"/>
            <w:left w:w="108" w:type="dxa"/>
            <w:bottom w:w="0" w:type="dxa"/>
            <w:right w:w="108" w:type="dxa"/>
          </w:tblCellMar>
        </w:tblPrEx>
        <w:trPr>
          <w:trHeight w:val="567" w:hRule="exact"/>
        </w:trPr>
        <w:tc>
          <w:tcPr>
            <w:tcW w:w="755" w:type="pct"/>
            <w:vMerge w:val="continue"/>
            <w:tcBorders>
              <w:left w:val="single" w:color="000000" w:sz="4" w:space="0"/>
              <w:bottom w:val="single" w:color="000000" w:sz="4" w:space="0"/>
              <w:right w:val="single" w:color="000000" w:sz="4" w:space="0"/>
            </w:tcBorders>
            <w:vAlign w:val="center"/>
          </w:tcPr>
          <w:p w14:paraId="3BE6063C">
            <w:pPr>
              <w:spacing w:line="0" w:lineRule="atLeast"/>
              <w:jc w:val="center"/>
              <w:rPr>
                <w:rFonts w:ascii="宋体" w:hAnsi="宋体" w:eastAsia="宋体" w:cs="Times New Roman"/>
                <w:b/>
                <w:kern w:val="0"/>
                <w:sz w:val="24"/>
              </w:rPr>
            </w:pPr>
          </w:p>
        </w:tc>
        <w:tc>
          <w:tcPr>
            <w:tcW w:w="1036" w:type="pct"/>
            <w:vMerge w:val="continue"/>
            <w:tcBorders>
              <w:left w:val="nil"/>
              <w:bottom w:val="single" w:color="000000" w:sz="4" w:space="0"/>
              <w:right w:val="single" w:color="000000" w:sz="4" w:space="0"/>
            </w:tcBorders>
            <w:vAlign w:val="center"/>
          </w:tcPr>
          <w:p w14:paraId="6A403D81">
            <w:pPr>
              <w:spacing w:line="0" w:lineRule="atLeast"/>
              <w:jc w:val="center"/>
              <w:rPr>
                <w:rFonts w:ascii="宋体" w:hAnsi="宋体" w:eastAsia="宋体" w:cs="Times New Roman"/>
                <w:kern w:val="0"/>
                <w:sz w:val="24"/>
              </w:rPr>
            </w:pPr>
          </w:p>
        </w:tc>
        <w:tc>
          <w:tcPr>
            <w:tcW w:w="988" w:type="pct"/>
            <w:vMerge w:val="continue"/>
            <w:tcBorders>
              <w:left w:val="nil"/>
              <w:bottom w:val="single" w:color="000000" w:sz="4" w:space="0"/>
              <w:right w:val="single" w:color="000000" w:sz="4" w:space="0"/>
            </w:tcBorders>
            <w:vAlign w:val="center"/>
          </w:tcPr>
          <w:p w14:paraId="0D247A65">
            <w:pPr>
              <w:spacing w:line="0" w:lineRule="atLeast"/>
              <w:jc w:val="center"/>
              <w:rPr>
                <w:rFonts w:ascii="宋体" w:hAnsi="宋体" w:eastAsia="宋体" w:cs="Times New Roman"/>
                <w:kern w:val="0"/>
                <w:sz w:val="24"/>
              </w:rPr>
            </w:pPr>
          </w:p>
        </w:tc>
        <w:tc>
          <w:tcPr>
            <w:tcW w:w="1152" w:type="pct"/>
            <w:tcBorders>
              <w:top w:val="single" w:color="auto" w:sz="4" w:space="0"/>
              <w:left w:val="nil"/>
              <w:bottom w:val="single" w:color="000000" w:sz="4" w:space="0"/>
              <w:right w:val="single" w:color="000000" w:sz="4" w:space="0"/>
            </w:tcBorders>
            <w:vAlign w:val="center"/>
          </w:tcPr>
          <w:p w14:paraId="78C415D2">
            <w:pPr>
              <w:spacing w:line="0" w:lineRule="atLeast"/>
              <w:jc w:val="center"/>
              <w:rPr>
                <w:rFonts w:ascii="宋体" w:hAnsi="宋体" w:eastAsia="宋体" w:cs="Times New Roman"/>
                <w:kern w:val="0"/>
                <w:sz w:val="24"/>
              </w:rPr>
            </w:pPr>
            <w:r>
              <w:rPr>
                <w:rFonts w:hint="eastAsia" w:ascii="宋体" w:hAnsi="宋体" w:eastAsia="宋体" w:cs="Times New Roman"/>
                <w:kern w:val="0"/>
                <w:sz w:val="24"/>
              </w:rPr>
              <w:t>水运结构与地基</w:t>
            </w:r>
          </w:p>
        </w:tc>
        <w:tc>
          <w:tcPr>
            <w:tcW w:w="1069" w:type="pct"/>
            <w:tcBorders>
              <w:top w:val="single" w:color="auto" w:sz="4" w:space="0"/>
              <w:left w:val="nil"/>
              <w:bottom w:val="single" w:color="000000" w:sz="4" w:space="0"/>
              <w:right w:val="single" w:color="000000" w:sz="4" w:space="0"/>
            </w:tcBorders>
            <w:vAlign w:val="center"/>
          </w:tcPr>
          <w:p w14:paraId="478864E0">
            <w:pPr>
              <w:spacing w:line="0" w:lineRule="atLeast"/>
              <w:jc w:val="center"/>
              <w:rPr>
                <w:rFonts w:ascii="宋体" w:hAnsi="宋体" w:eastAsia="宋体" w:cs="Times New Roman"/>
                <w:kern w:val="0"/>
                <w:sz w:val="24"/>
              </w:rPr>
            </w:pPr>
            <w:r>
              <w:rPr>
                <w:rFonts w:hint="eastAsia" w:ascii="宋体" w:hAnsi="宋体" w:eastAsia="宋体" w:cs="Times New Roman"/>
                <w:kern w:val="0"/>
                <w:sz w:val="24"/>
              </w:rPr>
              <w:t>水运材料</w:t>
            </w:r>
          </w:p>
        </w:tc>
      </w:tr>
    </w:tbl>
    <w:p w14:paraId="75F6772F">
      <w:pPr>
        <w:widowControl/>
        <w:numPr>
          <w:ilvl w:val="0"/>
          <w:numId w:val="2"/>
        </w:numPr>
        <w:spacing w:line="600" w:lineRule="atLeast"/>
        <w:rPr>
          <w:rFonts w:ascii="方正黑体_GBK" w:hAnsi="Calibri" w:eastAsia="方正黑体_GBK" w:cs="Times New Roman"/>
          <w:kern w:val="0"/>
          <w:sz w:val="32"/>
        </w:rPr>
      </w:pPr>
      <w:r>
        <w:rPr>
          <w:rFonts w:hint="eastAsia" w:ascii="方正黑体_GBK" w:hAnsi="Calibri" w:eastAsia="方正黑体_GBK" w:cs="Times New Roman"/>
          <w:kern w:val="0"/>
          <w:sz w:val="32"/>
        </w:rPr>
        <w:t>报名条件</w:t>
      </w:r>
    </w:p>
    <w:p w14:paraId="6153F984">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（一）报考人员须符合《公路水运工程试验检测专业技术人员职业资格制度规定》（人社部发〔2015〕59号）的报名条件。累计专业工作年限计算截止日期为2026年12月31日，实习期不计入专业工作年限。</w:t>
      </w:r>
    </w:p>
    <w:p w14:paraId="7D3697AF">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（二）香港、澳门地区专业技术人员参加试验检测考试，报名时需提交本人身份证明、国务院教育</w:t>
      </w:r>
      <w:bookmarkStart w:id="2" w:name="_GoBack"/>
      <w:bookmarkEnd w:id="2"/>
      <w:r>
        <w:rPr>
          <w:rFonts w:hint="eastAsia" w:ascii="Times New Roman" w:hAnsi="Times New Roman" w:eastAsia="方正仿宋_GBK" w:cs="Times New Roman"/>
          <w:snapToGrid w:val="0"/>
          <w:kern w:val="0"/>
          <w:sz w:val="32"/>
        </w:rPr>
        <w:t>行政部门认可的专业学历或学位证书、从事本专业工作实践证明。</w:t>
      </w:r>
    </w:p>
    <w:p w14:paraId="73C5570A">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三）台湾地区专业技术人员参加试验检测考试，按照《交通运输部职业资格中心关于向台湾同胞开放公路水运工程试验检测专业技术人员等两项职业资格考试有关事项的通告》（交通运输部职业资格中心通告2018年第13号）规定执行。</w:t>
      </w:r>
    </w:p>
    <w:p w14:paraId="4067B6F9">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（四）外籍人员参加试验检测考试，需提交本人身份证明（外籍人员有效护照、签证或外国人永久居留身份证）、学历或学位证书认证、专业工作年限证明（境外从业经历视同国内从业经历）。</w:t>
      </w:r>
    </w:p>
    <w:p w14:paraId="0F3863BB">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（五）试验检测考试成绩实行滚动管理，在连续两个考试年度内，参加公共基础科目和任一专业科目的考试并合格，可取得相应专业和级别的职业资格证书。</w:t>
      </w:r>
    </w:p>
    <w:p w14:paraId="335DF760">
      <w:pPr>
        <w:widowControl/>
        <w:numPr>
          <w:ilvl w:val="0"/>
          <w:numId w:val="2"/>
        </w:numPr>
        <w:spacing w:line="600" w:lineRule="atLeast"/>
        <w:rPr>
          <w:rFonts w:ascii="方正黑体_GBK" w:hAnsi="Calibri" w:eastAsia="方正黑体_GBK" w:cs="Times New Roman"/>
          <w:kern w:val="0"/>
          <w:sz w:val="32"/>
        </w:rPr>
      </w:pPr>
      <w:r>
        <w:rPr>
          <w:rFonts w:hint="eastAsia" w:ascii="方正黑体_GBK" w:hAnsi="Calibri" w:eastAsia="方正黑体_GBK" w:cs="Times New Roman"/>
          <w:kern w:val="0"/>
          <w:sz w:val="32"/>
        </w:rPr>
        <w:t>免试条件</w:t>
      </w:r>
    </w:p>
    <w:p w14:paraId="5044ACC6">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一）持有2014年及以前核发的试验检测工程师证书且符合报考条件的人员，参加公路水运工程试验检测师职业资格考试，可免考公共基础科目。对于免考公共基础科目的人员，须在1个考试年度内通过专业科目，方可取得相应职业资格证书。</w:t>
      </w:r>
    </w:p>
    <w:p w14:paraId="04B4814C">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（二）已取得公路水运工程试验检测专业技术人员一种专业职业资格证书的报考人员，报名参加相同级别其他专业科目考试，可免考公共基础科目。</w:t>
      </w:r>
    </w:p>
    <w:p w14:paraId="40D347F0">
      <w:pPr>
        <w:spacing w:line="600" w:lineRule="atLeast"/>
        <w:ind w:firstLine="640" w:firstLineChars="200"/>
        <w:rPr>
          <w:rFonts w:ascii="方正黑体_GBK" w:hAnsi="Calibri" w:eastAsia="方正黑体_GBK" w:cs="Times New Roman"/>
          <w:kern w:val="0"/>
          <w:sz w:val="32"/>
        </w:rPr>
      </w:pPr>
      <w:r>
        <w:rPr>
          <w:rFonts w:hint="eastAsia" w:ascii="方正黑体_GBK" w:hAnsi="Calibri" w:eastAsia="方正黑体_GBK" w:cs="Times New Roman"/>
          <w:kern w:val="0"/>
          <w:sz w:val="32"/>
        </w:rPr>
        <w:t>四、报考程序</w:t>
      </w:r>
    </w:p>
    <w:p w14:paraId="632DC2B9">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往年通过审核的报考人员（除试验检测考试中有Ⅱ类、Ⅲ类违纪违规行为的报考人员），报考相同级别的试验检测考试时，可免于审核。</w:t>
      </w:r>
    </w:p>
    <w:p w14:paraId="56C2A421">
      <w:pPr>
        <w:spacing w:line="600" w:lineRule="atLeast"/>
        <w:ind w:firstLine="640" w:firstLineChars="200"/>
        <w:rPr>
          <w:rFonts w:ascii="方正楷体_GBK" w:hAnsi="Calibri" w:eastAsia="方正楷体_GBK" w:cs="Times New Roman"/>
          <w:kern w:val="0"/>
          <w:sz w:val="32"/>
        </w:rPr>
      </w:pPr>
      <w:r>
        <w:rPr>
          <w:rFonts w:hint="eastAsia" w:ascii="方正楷体_GBK" w:hAnsi="Calibri" w:eastAsia="方正楷体_GBK" w:cs="Times New Roman"/>
          <w:kern w:val="0"/>
          <w:sz w:val="32"/>
        </w:rPr>
        <w:t>（一）告知承诺制</w:t>
      </w:r>
    </w:p>
    <w:p w14:paraId="3C3A20C5">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根据《关于2026年度公路水运工程试验检测专业技术人员职业资格考试有关事项的通知》（职水函﹝2026﹞232号），考试报名证明事项实行告知承诺制，报考人员报考前认真阅读报考须知和报考条件等（报考须知</w:t>
      </w:r>
      <w:r>
        <w:rPr>
          <w:rFonts w:ascii="Times New Roman" w:hAnsi="Times New Roman" w:eastAsia="方正仿宋_GBK" w:cs="Times New Roman"/>
          <w:snapToGrid w:val="0"/>
          <w:kern w:val="0"/>
          <w:sz w:val="32"/>
        </w:rPr>
        <w:t>和告知书、报考承诺书见附件</w:t>
      </w:r>
      <w:r>
        <w:rPr>
          <w:rFonts w:hint="eastAsia" w:ascii="Times New Roman" w:hAnsi="Times New Roman" w:eastAsia="方正仿宋_GBK" w:cs="Times New Roman"/>
          <w:snapToGrid w:val="0"/>
          <w:kern w:val="0"/>
          <w:sz w:val="32"/>
        </w:rPr>
        <w:t>）。已经符合告知的报考条件，报考时所填报的信息真实、准确、完整、有效，并愿意承担虚假承诺的责任。在之前试验检测考试报名中存在不实承诺行为或者有Ⅱ类、Ⅲ类违纪违规行为等被记入资格考试诚信档案库且在记录期内的报考人员，不适用告知承诺制。</w:t>
      </w:r>
    </w:p>
    <w:p w14:paraId="106EE80F">
      <w:pPr>
        <w:overflowPunct w:val="0"/>
        <w:spacing w:line="600" w:lineRule="atLeast"/>
        <w:ind w:firstLine="640" w:firstLineChars="200"/>
        <w:rPr>
          <w:rFonts w:ascii="Times New Roman" w:hAnsi="Times New Roman" w:eastAsia="方正仿宋_GBK" w:cs="Times New Roman"/>
          <w:snapToGrid w:val="0"/>
          <w:kern w:val="0"/>
          <w:sz w:val="32"/>
        </w:rPr>
      </w:pPr>
      <w:r>
        <w:rPr>
          <w:rFonts w:ascii="Times New Roman" w:hAnsi="Times New Roman" w:eastAsia="方正仿宋_GBK" w:cs="Times New Roman"/>
          <w:snapToGrid w:val="0"/>
          <w:kern w:val="0"/>
          <w:sz w:val="32"/>
        </w:rPr>
        <w:t>报考人员有故意隐瞒真实情况、提供虚假承诺等行为的，根据《专业技术人员资格考试违纪违规行为处理规定》（人社部令2017年第31号）等相关规定，将失信行为记录在</w:t>
      </w:r>
      <w:r>
        <w:rPr>
          <w:rFonts w:hint="eastAsia" w:ascii="Times New Roman" w:hAnsi="Times New Roman" w:eastAsia="方正仿宋_GBK" w:cs="Times New Roman"/>
          <w:snapToGrid w:val="0"/>
          <w:kern w:val="0"/>
          <w:sz w:val="32"/>
        </w:rPr>
        <w:t>资格考试诚信</w:t>
      </w:r>
      <w:r>
        <w:rPr>
          <w:rFonts w:ascii="Times New Roman" w:hAnsi="Times New Roman" w:eastAsia="方正仿宋_GBK" w:cs="Times New Roman"/>
          <w:snapToGrid w:val="0"/>
          <w:kern w:val="0"/>
          <w:sz w:val="32"/>
        </w:rPr>
        <w:t>档案库，记录期限为五年，在交通职业资格网上予以公布。</w:t>
      </w:r>
    </w:p>
    <w:p w14:paraId="63640AE0">
      <w:pPr>
        <w:spacing w:line="600" w:lineRule="atLeast"/>
        <w:ind w:firstLine="640" w:firstLineChars="200"/>
        <w:rPr>
          <w:rFonts w:ascii="方正楷体_GBK" w:hAnsi="Calibri" w:eastAsia="方正楷体_GBK" w:cs="Times New Roman"/>
          <w:kern w:val="0"/>
          <w:sz w:val="32"/>
        </w:rPr>
      </w:pPr>
      <w:r>
        <w:rPr>
          <w:rFonts w:hint="eastAsia" w:ascii="方正楷体_GBK" w:hAnsi="Calibri" w:eastAsia="方正楷体_GBK" w:cs="Times New Roman"/>
          <w:kern w:val="0"/>
          <w:sz w:val="32"/>
        </w:rPr>
        <w:t>（二）网上报名</w:t>
      </w:r>
    </w:p>
    <w:p w14:paraId="7858F523">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1.时间：2026年8月3日至8月28日。</w:t>
      </w:r>
    </w:p>
    <w:p w14:paraId="545E2B1E">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2</w:t>
      </w:r>
      <w:r>
        <w:rPr>
          <w:rFonts w:ascii="Times New Roman" w:hAnsi="Times New Roman" w:eastAsia="方正仿宋_GBK" w:cs="Times New Roman"/>
          <w:snapToGrid w:val="0"/>
          <w:kern w:val="0"/>
          <w:sz w:val="32"/>
        </w:rPr>
        <w:t>.</w:t>
      </w:r>
      <w:r>
        <w:rPr>
          <w:rFonts w:hint="eastAsia" w:ascii="Times New Roman" w:hAnsi="Times New Roman" w:eastAsia="方正仿宋_GBK" w:cs="Times New Roman"/>
          <w:snapToGrid w:val="0"/>
          <w:kern w:val="0"/>
          <w:sz w:val="32"/>
        </w:rPr>
        <w:t>方式：登录“公路水运工程试验检测专业技术人员管理系统（syjc.</w:t>
      </w:r>
      <w:r>
        <w:rPr>
          <w:rFonts w:ascii="Times New Roman" w:hAnsi="Times New Roman" w:eastAsia="方正仿宋_GBK" w:cs="Times New Roman"/>
          <w:snapToGrid w:val="0"/>
          <w:kern w:val="0"/>
          <w:sz w:val="32"/>
        </w:rPr>
        <w:t>jtzyzg.</w:t>
      </w:r>
      <w:r>
        <w:rPr>
          <w:rFonts w:hint="eastAsia" w:ascii="Times New Roman" w:hAnsi="Times New Roman" w:eastAsia="方正仿宋_GBK" w:cs="Times New Roman"/>
          <w:snapToGrid w:val="0"/>
          <w:kern w:val="0"/>
          <w:sz w:val="32"/>
        </w:rPr>
        <w:t>org.cn）”进行考试报名，填写相关信息并签署《公路水运工程试验检测专业技术人员职业资格考试报名证明事项告知承诺制报考承诺书》（电子文本）。上传一寸白底彩色证件照、上传有效期内的身份证件（正反面）、学历证书等扫描件。其中，2002年及以后大专及大专以上学历的报考人员，还需在报考系统中上传学信网（www.chsi.com.cn）教育部学籍或学历在线验证报告（在审核截止日期之前，应保证验证报告在有效期内）。</w:t>
      </w:r>
    </w:p>
    <w:p w14:paraId="1D683D11">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3.要求：填报个人信息应真实、准确、完整，提供虚假承诺和证明材料，或者以其他形式骗取报考资格的人员，</w:t>
      </w:r>
      <w:r>
        <w:rPr>
          <w:rFonts w:ascii="Times New Roman" w:hAnsi="Times New Roman" w:eastAsia="方正仿宋_GBK" w:cs="Times New Roman"/>
          <w:snapToGrid w:val="0"/>
          <w:kern w:val="0"/>
          <w:sz w:val="32"/>
        </w:rPr>
        <w:t>将失信行为记录在</w:t>
      </w:r>
      <w:r>
        <w:rPr>
          <w:rFonts w:hint="eastAsia" w:ascii="Times New Roman" w:hAnsi="Times New Roman" w:eastAsia="方正仿宋_GBK" w:cs="Times New Roman"/>
          <w:snapToGrid w:val="0"/>
          <w:kern w:val="0"/>
          <w:sz w:val="32"/>
        </w:rPr>
        <w:t>资格考试诚信</w:t>
      </w:r>
      <w:r>
        <w:rPr>
          <w:rFonts w:ascii="Times New Roman" w:hAnsi="Times New Roman" w:eastAsia="方正仿宋_GBK" w:cs="Times New Roman"/>
          <w:snapToGrid w:val="0"/>
          <w:kern w:val="0"/>
          <w:sz w:val="32"/>
        </w:rPr>
        <w:t>档案库，记录期限为五年，在交通职业资格网上予以公布。</w:t>
      </w:r>
    </w:p>
    <w:p w14:paraId="689531F7">
      <w:pPr>
        <w:spacing w:line="580" w:lineRule="exact"/>
        <w:ind w:firstLine="640" w:firstLineChars="200"/>
        <w:rPr>
          <w:rFonts w:ascii="方正楷体_GBK" w:hAnsi="Calibri" w:eastAsia="方正楷体_GBK" w:cs="Times New Roman"/>
          <w:kern w:val="0"/>
          <w:sz w:val="32"/>
        </w:rPr>
      </w:pPr>
      <w:r>
        <w:rPr>
          <w:rFonts w:hint="eastAsia" w:ascii="方正楷体_GBK" w:hAnsi="Calibri" w:eastAsia="方正楷体_GBK" w:cs="Times New Roman"/>
          <w:kern w:val="0"/>
          <w:sz w:val="32"/>
        </w:rPr>
        <w:t>（三）补充证明材料</w:t>
      </w:r>
    </w:p>
    <w:p w14:paraId="352E7458">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不</w:t>
      </w:r>
      <w:r>
        <w:rPr>
          <w:rFonts w:ascii="Times New Roman" w:hAnsi="Times New Roman" w:eastAsia="方正仿宋_GBK" w:cs="Times New Roman"/>
          <w:snapToGrid w:val="0"/>
          <w:kern w:val="0"/>
          <w:sz w:val="32"/>
        </w:rPr>
        <w:t>愿承诺或者</w:t>
      </w:r>
      <w:r>
        <w:rPr>
          <w:rFonts w:hint="eastAsia" w:ascii="Times New Roman" w:hAnsi="Times New Roman" w:eastAsia="方正仿宋_GBK" w:cs="Times New Roman"/>
          <w:snapToGrid w:val="0"/>
          <w:kern w:val="0"/>
          <w:sz w:val="32"/>
        </w:rPr>
        <w:t>无法承诺的报考人员、资格考试诚信档案库记录期内的失信人员，应当依有关规定和要求提供证明材料。</w:t>
      </w:r>
    </w:p>
    <w:p w14:paraId="2BAB84E8">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1.时间：</w:t>
      </w:r>
      <w:r>
        <w:rPr>
          <w:rFonts w:ascii="Times New Roman" w:hAnsi="Times New Roman" w:eastAsia="方正仿宋_GBK" w:cs="Times New Roman"/>
          <w:snapToGrid w:val="0"/>
          <w:kern w:val="0"/>
          <w:sz w:val="32"/>
        </w:rPr>
        <w:t>202</w:t>
      </w:r>
      <w:r>
        <w:rPr>
          <w:rFonts w:hint="eastAsia" w:ascii="Times New Roman" w:hAnsi="Times New Roman" w:eastAsia="方正仿宋_GBK" w:cs="Times New Roman"/>
          <w:snapToGrid w:val="0"/>
          <w:kern w:val="0"/>
          <w:sz w:val="32"/>
        </w:rPr>
        <w:t>6</w:t>
      </w:r>
      <w:r>
        <w:rPr>
          <w:rFonts w:ascii="Times New Roman" w:hAnsi="Times New Roman" w:eastAsia="方正仿宋_GBK" w:cs="Times New Roman"/>
          <w:snapToGrid w:val="0"/>
          <w:kern w:val="0"/>
          <w:sz w:val="32"/>
        </w:rPr>
        <w:t>年8月</w:t>
      </w:r>
      <w:r>
        <w:rPr>
          <w:rFonts w:hint="eastAsia" w:ascii="Times New Roman" w:hAnsi="Times New Roman" w:eastAsia="方正仿宋_GBK" w:cs="Times New Roman"/>
          <w:snapToGrid w:val="0"/>
          <w:kern w:val="0"/>
          <w:sz w:val="32"/>
        </w:rPr>
        <w:t>2</w:t>
      </w:r>
      <w:r>
        <w:rPr>
          <w:rFonts w:ascii="Times New Roman" w:hAnsi="Times New Roman" w:eastAsia="方正仿宋_GBK" w:cs="Times New Roman"/>
          <w:snapToGrid w:val="0"/>
          <w:kern w:val="0"/>
          <w:sz w:val="32"/>
        </w:rPr>
        <w:t>7日</w:t>
      </w:r>
      <w:r>
        <w:rPr>
          <w:rFonts w:hint="eastAsia" w:ascii="Times New Roman" w:hAnsi="Times New Roman" w:eastAsia="方正仿宋_GBK" w:cs="Times New Roman"/>
          <w:snapToGrid w:val="0"/>
          <w:kern w:val="0"/>
          <w:sz w:val="32"/>
        </w:rPr>
        <w:t>至</w:t>
      </w:r>
      <w:r>
        <w:rPr>
          <w:rFonts w:ascii="Times New Roman" w:hAnsi="Times New Roman" w:eastAsia="方正仿宋_GBK" w:cs="Times New Roman"/>
          <w:snapToGrid w:val="0"/>
          <w:kern w:val="0"/>
          <w:sz w:val="32"/>
        </w:rPr>
        <w:t>8月28日</w:t>
      </w:r>
    </w:p>
    <w:p w14:paraId="287811B5">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2.地点：江苏省南京江宁科学园龙眠大道629号躬行楼北楼306室</w:t>
      </w:r>
    </w:p>
    <w:p w14:paraId="2E382771">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3.要求：以上人员应携带考生报名表、身份证件、学历证书（学籍或学历验证报告）、工作年限证明、职业资格证书等报考材料原件、复印件到考试承办机构设置的报名点完成报名现场确认。其中，学籍或学历验证报告应为扫码可查的有效报告。</w:t>
      </w:r>
    </w:p>
    <w:p w14:paraId="68E499A3">
      <w:pPr>
        <w:spacing w:line="600" w:lineRule="atLeast"/>
        <w:ind w:firstLine="640" w:firstLineChars="200"/>
        <w:rPr>
          <w:rFonts w:ascii="方正楷体_GBK" w:hAnsi="Calibri" w:eastAsia="方正楷体_GBK" w:cs="Times New Roman"/>
          <w:kern w:val="0"/>
          <w:sz w:val="32"/>
        </w:rPr>
      </w:pPr>
      <w:r>
        <w:rPr>
          <w:rFonts w:hint="eastAsia" w:ascii="方正楷体_GBK" w:hAnsi="Calibri" w:eastAsia="方正楷体_GBK" w:cs="Times New Roman"/>
          <w:kern w:val="0"/>
          <w:sz w:val="32"/>
        </w:rPr>
        <w:t>（四）打印准考证</w:t>
      </w:r>
    </w:p>
    <w:p w14:paraId="5365CEE9">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1.时间：20</w:t>
      </w:r>
      <w:r>
        <w:rPr>
          <w:rFonts w:ascii="Times New Roman" w:hAnsi="Times New Roman" w:eastAsia="方正仿宋_GBK" w:cs="Times New Roman"/>
          <w:snapToGrid w:val="0"/>
          <w:kern w:val="0"/>
          <w:sz w:val="32"/>
        </w:rPr>
        <w:t>2</w:t>
      </w:r>
      <w:r>
        <w:rPr>
          <w:rFonts w:hint="eastAsia" w:ascii="Times New Roman" w:hAnsi="Times New Roman" w:eastAsia="方正仿宋_GBK" w:cs="Times New Roman"/>
          <w:snapToGrid w:val="0"/>
          <w:kern w:val="0"/>
          <w:sz w:val="32"/>
        </w:rPr>
        <w:t>6年9月29日至10月24日。</w:t>
      </w:r>
    </w:p>
    <w:p w14:paraId="2D984CD4">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2.方式：报考人员在“公路水运工程试验检测专业技术人员管理系统”中自行打印准考证。</w:t>
      </w:r>
    </w:p>
    <w:p w14:paraId="3893F88F">
      <w:pPr>
        <w:spacing w:line="600" w:lineRule="atLeast"/>
        <w:ind w:firstLine="640" w:firstLineChars="200"/>
        <w:rPr>
          <w:rFonts w:ascii="方正黑体_GBK" w:hAnsi="Calibri" w:eastAsia="方正黑体_GBK" w:cs="Times New Roman"/>
          <w:kern w:val="0"/>
          <w:sz w:val="32"/>
        </w:rPr>
      </w:pPr>
      <w:r>
        <w:rPr>
          <w:rFonts w:hint="eastAsia" w:ascii="方正黑体_GBK" w:hAnsi="Calibri" w:eastAsia="方正黑体_GBK" w:cs="Times New Roman"/>
          <w:kern w:val="0"/>
          <w:sz w:val="32"/>
        </w:rPr>
        <w:t>五、考试大纲及教材</w:t>
      </w:r>
    </w:p>
    <w:p w14:paraId="7AEAF108">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试验检测考试依据《公路水运工程试验检测专业技术人员职业资格考试大纲（2026年版）》，发布在“公路水运工程试验检测专业技术人员管理系统”中，应试人员可免费下载；考试用书可参阅人民交通出版社出版的《公路水运工程试验检测专业技术人员职业资格考试用书（2026年版）》。</w:t>
      </w:r>
    </w:p>
    <w:p w14:paraId="4D32B2E0">
      <w:pPr>
        <w:spacing w:line="600" w:lineRule="atLeast"/>
        <w:ind w:firstLine="640" w:firstLineChars="200"/>
        <w:rPr>
          <w:rFonts w:ascii="方正黑体_GBK" w:hAnsi="Calibri" w:eastAsia="方正黑体_GBK" w:cs="Times New Roman"/>
          <w:kern w:val="0"/>
          <w:sz w:val="32"/>
        </w:rPr>
      </w:pPr>
      <w:r>
        <w:rPr>
          <w:rFonts w:hint="eastAsia" w:ascii="方正黑体_GBK" w:hAnsi="Calibri" w:eastAsia="方正黑体_GBK" w:cs="Times New Roman"/>
          <w:kern w:val="0"/>
          <w:sz w:val="32"/>
        </w:rPr>
        <w:t>六、考试费用</w:t>
      </w:r>
    </w:p>
    <w:p w14:paraId="3929D323">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根据省级考试收费文件《省发展改革委、省财政厅关于核定公路水运工程试验检测专业技术人员考试费标准的通知》苏发改收费发（2020）1176号文，考试费收费标准为75元/科。通过审核的报考人员应在2026年8月28日前缴纳考试费，完成报名。</w:t>
      </w:r>
    </w:p>
    <w:p w14:paraId="762692A5">
      <w:pPr>
        <w:spacing w:line="600" w:lineRule="atLeast"/>
        <w:ind w:firstLine="640" w:firstLineChars="200"/>
        <w:rPr>
          <w:rFonts w:ascii="方正黑体_GBK" w:hAnsi="Calibri" w:eastAsia="方正黑体_GBK" w:cs="Times New Roman"/>
          <w:kern w:val="0"/>
          <w:sz w:val="32"/>
        </w:rPr>
      </w:pPr>
      <w:r>
        <w:rPr>
          <w:rFonts w:hint="eastAsia" w:ascii="方正黑体_GBK" w:hAnsi="Calibri" w:eastAsia="方正黑体_GBK" w:cs="Times New Roman"/>
          <w:kern w:val="0"/>
          <w:sz w:val="32"/>
        </w:rPr>
        <w:t>七、其他事项</w:t>
      </w:r>
    </w:p>
    <w:p w14:paraId="11954705">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1．联系方式：</w:t>
      </w:r>
    </w:p>
    <w:p w14:paraId="3E752723">
      <w:pPr>
        <w:overflowPunct w:val="0"/>
        <w:spacing w:line="600" w:lineRule="atLeast"/>
        <w:ind w:firstLine="640" w:firstLineChars="200"/>
        <w:rPr>
          <w:rFonts w:ascii="Times New Roman" w:hAnsi="Times New Roman" w:eastAsia="方正仿宋_GBK" w:cs="Times New Roman"/>
          <w:snapToGrid w:val="0"/>
          <w:kern w:val="0"/>
          <w:sz w:val="32"/>
        </w:rPr>
      </w:pPr>
      <w:r>
        <w:rPr>
          <w:rFonts w:ascii="Times New Roman" w:hAnsi="Times New Roman" w:eastAsia="方正仿宋_GBK" w:cs="Times New Roman"/>
          <w:snapToGrid w:val="0"/>
          <w:kern w:val="0"/>
          <w:sz w:val="32"/>
        </w:rPr>
        <w:t xml:space="preserve">联系人：南京交通职业技术学院 </w:t>
      </w:r>
      <w:bookmarkStart w:id="0" w:name="OLE_LINK6"/>
      <w:bookmarkStart w:id="1" w:name="OLE_LINK7"/>
      <w:r>
        <w:rPr>
          <w:rFonts w:hint="eastAsia" w:ascii="Times New Roman" w:hAnsi="Times New Roman" w:eastAsia="方正仿宋_GBK" w:cs="Times New Roman"/>
          <w:snapToGrid w:val="0"/>
          <w:kern w:val="0"/>
          <w:sz w:val="32"/>
        </w:rPr>
        <w:t>赵岩荆</w:t>
      </w:r>
      <w:bookmarkEnd w:id="0"/>
      <w:bookmarkEnd w:id="1"/>
      <w:r>
        <w:rPr>
          <w:rFonts w:hint="eastAsia" w:ascii="Times New Roman" w:hAnsi="Times New Roman" w:eastAsia="方正仿宋_GBK" w:cs="Times New Roman"/>
          <w:snapToGrid w:val="0"/>
          <w:kern w:val="0"/>
          <w:sz w:val="32"/>
        </w:rPr>
        <w:t xml:space="preserve"> </w:t>
      </w:r>
      <w:r>
        <w:rPr>
          <w:rFonts w:ascii="Times New Roman" w:hAnsi="Times New Roman" w:eastAsia="方正仿宋_GBK" w:cs="Times New Roman"/>
          <w:snapToGrid w:val="0"/>
          <w:kern w:val="0"/>
          <w:sz w:val="32"/>
        </w:rPr>
        <w:t xml:space="preserve"> </w:t>
      </w:r>
      <w:r>
        <w:rPr>
          <w:rFonts w:hint="eastAsia" w:ascii="Times New Roman" w:hAnsi="Times New Roman" w:eastAsia="方正仿宋_GBK" w:cs="Times New Roman"/>
          <w:snapToGrid w:val="0"/>
          <w:kern w:val="0"/>
          <w:sz w:val="32"/>
        </w:rPr>
        <w:t>赵远</w:t>
      </w:r>
    </w:p>
    <w:p w14:paraId="7CA40ABB">
      <w:pPr>
        <w:overflowPunct w:val="0"/>
        <w:spacing w:line="600" w:lineRule="atLeast"/>
        <w:ind w:firstLine="640" w:firstLineChars="200"/>
        <w:rPr>
          <w:rFonts w:ascii="Times New Roman" w:hAnsi="Times New Roman" w:eastAsia="方正仿宋_GBK" w:cs="Times New Roman"/>
          <w:snapToGrid w:val="0"/>
          <w:kern w:val="0"/>
          <w:sz w:val="32"/>
        </w:rPr>
      </w:pPr>
      <w:r>
        <w:rPr>
          <w:rFonts w:ascii="Times New Roman" w:hAnsi="Times New Roman" w:eastAsia="方正仿宋_GBK" w:cs="Times New Roman"/>
          <w:snapToGrid w:val="0"/>
          <w:kern w:val="0"/>
          <w:sz w:val="32"/>
        </w:rPr>
        <w:t>电话（传真）：025-86115060</w:t>
      </w:r>
    </w:p>
    <w:p w14:paraId="43E23312">
      <w:pPr>
        <w:overflowPunct w:val="0"/>
        <w:spacing w:line="600" w:lineRule="atLeast"/>
        <w:ind w:firstLine="640" w:firstLineChars="200"/>
        <w:rPr>
          <w:rFonts w:ascii="Times New Roman" w:hAnsi="Times New Roman" w:eastAsia="方正仿宋_GBK" w:cs="Times New Roman"/>
          <w:snapToGrid w:val="0"/>
          <w:kern w:val="0"/>
          <w:sz w:val="32"/>
        </w:rPr>
      </w:pPr>
      <w:r>
        <w:rPr>
          <w:rFonts w:ascii="Times New Roman" w:hAnsi="Times New Roman" w:eastAsia="方正仿宋_GBK" w:cs="Times New Roman"/>
          <w:snapToGrid w:val="0"/>
          <w:kern w:val="0"/>
          <w:sz w:val="32"/>
        </w:rPr>
        <w:t>地址：南京江宁科学园龙眠大道629号</w:t>
      </w:r>
    </w:p>
    <w:p w14:paraId="634FF742">
      <w:pPr>
        <w:overflowPunct w:val="0"/>
        <w:spacing w:line="600" w:lineRule="atLeast"/>
        <w:ind w:firstLine="640" w:firstLineChars="200"/>
        <w:rPr>
          <w:rFonts w:ascii="Times New Roman" w:hAnsi="Times New Roman" w:eastAsia="方正仿宋_GBK" w:cs="Times New Roman"/>
          <w:snapToGrid w:val="0"/>
          <w:kern w:val="0"/>
          <w:sz w:val="32"/>
        </w:rPr>
      </w:pPr>
      <w:r>
        <w:rPr>
          <w:rFonts w:ascii="Times New Roman" w:hAnsi="Times New Roman" w:eastAsia="方正仿宋_GBK" w:cs="Times New Roman"/>
          <w:snapToGrid w:val="0"/>
          <w:kern w:val="0"/>
          <w:sz w:val="32"/>
        </w:rPr>
        <w:t>邮编：211188</w:t>
      </w:r>
    </w:p>
    <w:p w14:paraId="5C6AE82E">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2．考试地点：</w:t>
      </w:r>
    </w:p>
    <w:p w14:paraId="028160FC">
      <w:pPr>
        <w:overflowPunct w:val="0"/>
        <w:spacing w:line="600" w:lineRule="atLeast"/>
        <w:ind w:firstLine="640" w:firstLineChars="200"/>
        <w:rPr>
          <w:rFonts w:ascii="Times New Roman" w:hAnsi="Times New Roman" w:eastAsia="方正仿宋_GBK" w:cs="Times New Roman"/>
          <w:snapToGrid w:val="0"/>
          <w:kern w:val="0"/>
          <w:sz w:val="32"/>
        </w:rPr>
      </w:pPr>
      <w:r>
        <w:rPr>
          <w:rFonts w:ascii="Times New Roman" w:hAnsi="Times New Roman" w:eastAsia="方正仿宋_GBK" w:cs="Times New Roman"/>
          <w:snapToGrid w:val="0"/>
          <w:kern w:val="0"/>
          <w:sz w:val="32"/>
        </w:rPr>
        <w:t>南京交通职业技术学院（南京江宁科学园龙眠大道629号），地铁1号线</w:t>
      </w:r>
      <w:r>
        <w:rPr>
          <w:rFonts w:hint="eastAsia" w:ascii="Times New Roman" w:hAnsi="Times New Roman" w:eastAsia="方正仿宋_GBK" w:cs="Times New Roman"/>
          <w:snapToGrid w:val="0"/>
          <w:kern w:val="0"/>
          <w:sz w:val="32"/>
        </w:rPr>
        <w:t>（中国药科大学方向）“南京交院站”下即到。</w:t>
      </w:r>
    </w:p>
    <w:p w14:paraId="099940C5">
      <w:pPr>
        <w:spacing w:line="580" w:lineRule="exact"/>
        <w:ind w:left="320" w:hanging="320" w:hangingChars="100"/>
        <w:rPr>
          <w:rFonts w:ascii="仿宋_GB2312" w:hAnsi="宋体" w:eastAsia="仿宋_GB2312" w:cs="宋体"/>
          <w:kern w:val="0"/>
          <w:sz w:val="32"/>
          <w:szCs w:val="30"/>
        </w:rPr>
      </w:pPr>
    </w:p>
    <w:p w14:paraId="20900D5D">
      <w:pPr>
        <w:spacing w:line="580" w:lineRule="exact"/>
        <w:ind w:left="210" w:leftChars="100" w:firstLine="640" w:firstLineChars="200"/>
        <w:rPr>
          <w:rFonts w:ascii="仿宋_GB2312" w:hAnsi="宋体" w:eastAsia="仿宋_GB2312" w:cs="宋体"/>
          <w:kern w:val="0"/>
          <w:sz w:val="32"/>
          <w:szCs w:val="30"/>
        </w:rPr>
      </w:pPr>
      <w:r>
        <w:rPr>
          <w:rFonts w:hint="eastAsia" w:ascii="仿宋_GB2312" w:hAnsi="宋体" w:eastAsia="仿宋_GB2312" w:cs="宋体"/>
          <w:kern w:val="0"/>
          <w:sz w:val="32"/>
          <w:szCs w:val="30"/>
        </w:rPr>
        <w:t>附件：公路水运工程试验检测专业技术人员职业资格考试报考须知、告知承诺书、报考承诺书</w:t>
      </w:r>
    </w:p>
    <w:p w14:paraId="5A25EFA4">
      <w:pPr>
        <w:spacing w:line="580" w:lineRule="exact"/>
        <w:ind w:left="320" w:hanging="320" w:hangingChars="100"/>
        <w:rPr>
          <w:rFonts w:ascii="仿宋_GB2312" w:hAnsi="宋体" w:eastAsia="仿宋_GB2312" w:cs="宋体"/>
          <w:kern w:val="0"/>
          <w:sz w:val="32"/>
          <w:szCs w:val="30"/>
        </w:rPr>
      </w:pPr>
    </w:p>
    <w:p w14:paraId="6A888F8E">
      <w:pPr>
        <w:spacing w:line="580" w:lineRule="exact"/>
        <w:ind w:left="320" w:hanging="320" w:hangingChars="100"/>
        <w:rPr>
          <w:rFonts w:ascii="仿宋_GB2312" w:hAnsi="宋体" w:eastAsia="仿宋_GB2312" w:cs="宋体"/>
          <w:kern w:val="0"/>
          <w:sz w:val="32"/>
          <w:szCs w:val="30"/>
        </w:rPr>
      </w:pPr>
    </w:p>
    <w:p w14:paraId="4EB8D515">
      <w:pPr>
        <w:spacing w:line="580" w:lineRule="exact"/>
        <w:ind w:left="320" w:hanging="320" w:hangingChars="100"/>
        <w:rPr>
          <w:rFonts w:ascii="仿宋_GB2312" w:hAnsi="宋体" w:eastAsia="仿宋_GB2312" w:cs="宋体"/>
          <w:kern w:val="0"/>
          <w:sz w:val="32"/>
          <w:szCs w:val="30"/>
        </w:rPr>
      </w:pPr>
    </w:p>
    <w:p w14:paraId="573A2969">
      <w:pPr>
        <w:spacing w:line="580" w:lineRule="exact"/>
        <w:ind w:left="320" w:hanging="320" w:hangingChars="100"/>
        <w:rPr>
          <w:rFonts w:ascii="仿宋_GB2312" w:hAnsi="宋体" w:eastAsia="仿宋_GB2312" w:cs="宋体"/>
          <w:kern w:val="0"/>
          <w:sz w:val="32"/>
          <w:szCs w:val="30"/>
        </w:rPr>
      </w:pPr>
    </w:p>
    <w:p w14:paraId="38BCA631">
      <w:pPr>
        <w:overflowPunct w:val="0"/>
        <w:spacing w:line="600" w:lineRule="atLeast"/>
        <w:ind w:firstLine="640" w:firstLineChars="200"/>
        <w:jc w:val="right"/>
        <w:rPr>
          <w:rFonts w:ascii="Times New Roman" w:hAnsi="Times New Roman" w:eastAsia="方正仿宋_GBK" w:cs="Times New Roman"/>
          <w:snapToGrid w:val="0"/>
          <w:kern w:val="0"/>
          <w:sz w:val="32"/>
        </w:rPr>
      </w:pPr>
    </w:p>
    <w:p w14:paraId="5D2815FA">
      <w:pPr>
        <w:wordWrap w:val="0"/>
        <w:overflowPunct w:val="0"/>
        <w:spacing w:line="600" w:lineRule="atLeast"/>
        <w:ind w:firstLine="640" w:firstLineChars="200"/>
        <w:jc w:val="right"/>
        <w:rPr>
          <w:rFonts w:ascii="Times New Roman" w:hAnsi="Times New Roman" w:eastAsia="方正仿宋_GBK" w:cs="Times New Roman"/>
          <w:snapToGrid w:val="0"/>
          <w:kern w:val="0"/>
          <w:sz w:val="32"/>
        </w:rPr>
      </w:pPr>
      <w:r>
        <w:rPr>
          <w:rFonts w:ascii="Times New Roman" w:hAnsi="Times New Roman" w:eastAsia="方正仿宋_GBK" w:cs="Times New Roman"/>
          <w:snapToGrid w:val="0"/>
          <w:kern w:val="0"/>
          <w:sz w:val="32"/>
        </w:rPr>
        <w:t>202</w:t>
      </w:r>
      <w:r>
        <w:rPr>
          <w:rFonts w:hint="eastAsia" w:ascii="Times New Roman" w:hAnsi="Times New Roman" w:eastAsia="方正仿宋_GBK" w:cs="Times New Roman"/>
          <w:snapToGrid w:val="0"/>
          <w:kern w:val="0"/>
          <w:sz w:val="32"/>
        </w:rPr>
        <w:t>6</w:t>
      </w:r>
      <w:r>
        <w:rPr>
          <w:rFonts w:ascii="Times New Roman" w:hAnsi="Times New Roman" w:eastAsia="方正仿宋_GBK" w:cs="Times New Roman"/>
          <w:snapToGrid w:val="0"/>
          <w:kern w:val="0"/>
          <w:sz w:val="32"/>
        </w:rPr>
        <w:t>年</w:t>
      </w:r>
      <w:r>
        <w:rPr>
          <w:rFonts w:hint="eastAsia" w:ascii="Times New Roman" w:hAnsi="Times New Roman" w:eastAsia="方正仿宋_GBK" w:cs="Times New Roman"/>
          <w:snapToGrid w:val="0"/>
          <w:kern w:val="0"/>
          <w:sz w:val="32"/>
        </w:rPr>
        <w:t xml:space="preserve">度公路水运工程试验检测专业技术 </w:t>
      </w:r>
      <w:r>
        <w:rPr>
          <w:rFonts w:ascii="Times New Roman" w:hAnsi="Times New Roman" w:eastAsia="方正仿宋_GBK" w:cs="Times New Roman"/>
          <w:snapToGrid w:val="0"/>
          <w:kern w:val="0"/>
          <w:sz w:val="32"/>
        </w:rPr>
        <w:t xml:space="preserve">   </w:t>
      </w:r>
    </w:p>
    <w:p w14:paraId="6EFBCEF3">
      <w:pPr>
        <w:wordWrap w:val="0"/>
        <w:overflowPunct w:val="0"/>
        <w:spacing w:line="600" w:lineRule="atLeast"/>
        <w:ind w:firstLine="640" w:firstLineChars="200"/>
        <w:jc w:val="right"/>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 xml:space="preserve">人员职业资格考试（江苏省考区）领导小组 </w:t>
      </w:r>
      <w:r>
        <w:rPr>
          <w:rFonts w:ascii="Times New Roman" w:hAnsi="Times New Roman" w:eastAsia="方正仿宋_GBK" w:cs="Times New Roman"/>
          <w:snapToGrid w:val="0"/>
          <w:kern w:val="0"/>
          <w:sz w:val="32"/>
        </w:rPr>
        <w:t xml:space="preserve">   </w:t>
      </w:r>
    </w:p>
    <w:p w14:paraId="3D7CA490">
      <w:pPr>
        <w:wordWrap w:val="0"/>
        <w:overflowPunct w:val="0"/>
        <w:spacing w:line="600" w:lineRule="atLeast"/>
        <w:ind w:firstLine="640" w:firstLineChars="200"/>
        <w:jc w:val="right"/>
        <w:rPr>
          <w:rFonts w:ascii="Times New Roman" w:hAnsi="Times New Roman" w:eastAsia="方正仿宋_GBK" w:cs="Times New Roman"/>
          <w:snapToGrid w:val="0"/>
          <w:kern w:val="0"/>
          <w:sz w:val="32"/>
        </w:rPr>
      </w:pPr>
      <w:r>
        <w:rPr>
          <w:rFonts w:ascii="Times New Roman" w:hAnsi="Times New Roman" w:eastAsia="方正仿宋_GBK" w:cs="Times New Roman"/>
          <w:snapToGrid w:val="0"/>
          <w:kern w:val="0"/>
          <w:sz w:val="32"/>
        </w:rPr>
        <w:t>202</w:t>
      </w:r>
      <w:r>
        <w:rPr>
          <w:rFonts w:hint="eastAsia" w:ascii="Times New Roman" w:hAnsi="Times New Roman" w:eastAsia="方正仿宋_GBK" w:cs="Times New Roman"/>
          <w:snapToGrid w:val="0"/>
          <w:kern w:val="0"/>
          <w:sz w:val="32"/>
        </w:rPr>
        <w:t>6</w:t>
      </w:r>
      <w:r>
        <w:rPr>
          <w:rFonts w:ascii="Times New Roman" w:hAnsi="Times New Roman" w:eastAsia="方正仿宋_GBK" w:cs="Times New Roman"/>
          <w:snapToGrid w:val="0"/>
          <w:kern w:val="0"/>
          <w:sz w:val="32"/>
        </w:rPr>
        <w:t>年</w:t>
      </w:r>
      <w:r>
        <w:rPr>
          <w:rFonts w:hint="eastAsia" w:ascii="Times New Roman" w:hAnsi="Times New Roman" w:eastAsia="方正仿宋_GBK" w:cs="Times New Roman"/>
          <w:snapToGrid w:val="0"/>
          <w:kern w:val="0"/>
          <w:sz w:val="32"/>
          <w:lang w:val="en-US" w:eastAsia="zh-CN"/>
        </w:rPr>
        <w:t>7</w:t>
      </w:r>
      <w:r>
        <w:rPr>
          <w:rFonts w:ascii="Times New Roman" w:hAnsi="Times New Roman" w:eastAsia="方正仿宋_GBK" w:cs="Times New Roman"/>
          <w:snapToGrid w:val="0"/>
          <w:kern w:val="0"/>
          <w:sz w:val="32"/>
        </w:rPr>
        <w:t>月</w:t>
      </w:r>
      <w:r>
        <w:rPr>
          <w:rFonts w:hint="eastAsia" w:ascii="Times New Roman" w:hAnsi="Times New Roman" w:eastAsia="方正仿宋_GBK" w:cs="Times New Roman"/>
          <w:snapToGrid w:val="0"/>
          <w:kern w:val="0"/>
          <w:sz w:val="32"/>
          <w:lang w:val="en-US" w:eastAsia="zh-CN"/>
        </w:rPr>
        <w:t>24</w:t>
      </w:r>
      <w:r>
        <w:rPr>
          <w:rFonts w:ascii="Times New Roman" w:hAnsi="Times New Roman" w:eastAsia="方正仿宋_GBK" w:cs="Times New Roman"/>
          <w:snapToGrid w:val="0"/>
          <w:kern w:val="0"/>
          <w:sz w:val="32"/>
        </w:rPr>
        <w:t>日</w:t>
      </w:r>
      <w:r>
        <w:rPr>
          <w:rFonts w:hint="eastAsia" w:ascii="Times New Roman" w:hAnsi="Times New Roman" w:eastAsia="方正仿宋_GBK" w:cs="Times New Roman"/>
          <w:snapToGrid w:val="0"/>
          <w:kern w:val="0"/>
          <w:sz w:val="32"/>
        </w:rPr>
        <w:t xml:space="preserve"> </w:t>
      </w:r>
      <w:r>
        <w:rPr>
          <w:rFonts w:ascii="Times New Roman" w:hAnsi="Times New Roman" w:eastAsia="方正仿宋_GBK" w:cs="Times New Roman"/>
          <w:snapToGrid w:val="0"/>
          <w:kern w:val="0"/>
          <w:sz w:val="32"/>
        </w:rPr>
        <w:t xml:space="preserve">              </w:t>
      </w:r>
    </w:p>
    <w:p w14:paraId="252C94D0">
      <w:pPr>
        <w:widowControl/>
        <w:ind w:firstLine="640" w:firstLineChars="200"/>
        <w:rPr>
          <w:rFonts w:ascii="Times New Roman" w:hAnsi="Times New Roman" w:eastAsia="仿宋_GB2312" w:cs="Times New Roman"/>
          <w:kern w:val="0"/>
          <w:sz w:val="32"/>
          <w:szCs w:val="21"/>
        </w:rPr>
      </w:pPr>
    </w:p>
    <w:p w14:paraId="107F04FE">
      <w:pPr>
        <w:widowControl/>
        <w:ind w:firstLine="640" w:firstLineChars="200"/>
        <w:rPr>
          <w:rFonts w:ascii="Times New Roman" w:hAnsi="Times New Roman" w:eastAsia="仿宋_GB2312" w:cs="Times New Roman"/>
          <w:kern w:val="0"/>
          <w:sz w:val="32"/>
          <w:szCs w:val="21"/>
        </w:rPr>
      </w:pPr>
    </w:p>
    <w:p w14:paraId="6597753E">
      <w:pPr>
        <w:widowControl/>
        <w:rPr>
          <w:rFonts w:ascii="黑体" w:hAnsi="黑体" w:eastAsia="黑体" w:cs="Times New Roman"/>
          <w:bCs/>
          <w:kern w:val="0"/>
          <w:sz w:val="32"/>
          <w:szCs w:val="21"/>
        </w:rPr>
      </w:pPr>
      <w:r>
        <w:rPr>
          <w:rFonts w:hint="eastAsia" w:ascii="黑体" w:hAnsi="黑体" w:eastAsia="黑体" w:cs="Times New Roman"/>
          <w:bCs/>
          <w:kern w:val="0"/>
          <w:sz w:val="32"/>
          <w:szCs w:val="21"/>
        </w:rPr>
        <w:br w:type="column"/>
      </w:r>
      <w:r>
        <w:rPr>
          <w:rFonts w:hint="eastAsia" w:ascii="黑体" w:hAnsi="黑体" w:eastAsia="黑体" w:cs="Times New Roman"/>
          <w:bCs/>
          <w:kern w:val="0"/>
          <w:sz w:val="32"/>
          <w:szCs w:val="21"/>
        </w:rPr>
        <w:t>附件</w:t>
      </w:r>
    </w:p>
    <w:p w14:paraId="6C513F7D">
      <w:pPr>
        <w:overflowPunct w:val="0"/>
        <w:adjustRightInd w:val="0"/>
        <w:snapToGrid w:val="0"/>
        <w:spacing w:line="500" w:lineRule="exact"/>
        <w:ind w:right="1270"/>
        <w:rPr>
          <w:rFonts w:ascii="宋体" w:hAnsi="宋体" w:eastAsia="宋体" w:cs="Times New Roman"/>
          <w:snapToGrid w:val="0"/>
          <w:kern w:val="0"/>
          <w:sz w:val="28"/>
          <w:szCs w:val="28"/>
        </w:rPr>
      </w:pPr>
    </w:p>
    <w:p w14:paraId="7721608A">
      <w:pPr>
        <w:overflowPunct w:val="0"/>
        <w:adjustRightInd w:val="0"/>
        <w:snapToGrid w:val="0"/>
        <w:spacing w:line="620" w:lineRule="exact"/>
        <w:ind w:right="-59"/>
        <w:jc w:val="center"/>
        <w:rPr>
          <w:rFonts w:ascii="方正小标宋_GBK" w:hAnsi="宋体" w:eastAsia="方正小标宋_GBK" w:cs="Times New Roman"/>
          <w:bCs/>
          <w:kern w:val="0"/>
          <w:sz w:val="44"/>
          <w:szCs w:val="32"/>
        </w:rPr>
      </w:pPr>
      <w:r>
        <w:rPr>
          <w:rFonts w:hint="eastAsia" w:ascii="方正小标宋_GBK" w:hAnsi="宋体" w:eastAsia="方正小标宋_GBK" w:cs="Times New Roman"/>
          <w:bCs/>
          <w:kern w:val="0"/>
          <w:sz w:val="44"/>
          <w:szCs w:val="32"/>
        </w:rPr>
        <w:t>公路水运工程试验检测专业技术人员</w:t>
      </w:r>
    </w:p>
    <w:p w14:paraId="5AC0B19E">
      <w:pPr>
        <w:overflowPunct w:val="0"/>
        <w:adjustRightInd w:val="0"/>
        <w:snapToGrid w:val="0"/>
        <w:spacing w:line="620" w:lineRule="exact"/>
        <w:ind w:right="-59"/>
        <w:jc w:val="center"/>
        <w:rPr>
          <w:rFonts w:ascii="方正小标宋_GBK" w:hAnsi="宋体" w:eastAsia="方正小标宋_GBK" w:cs="Times New Roman"/>
          <w:bCs/>
          <w:kern w:val="0"/>
          <w:sz w:val="44"/>
          <w:szCs w:val="32"/>
        </w:rPr>
      </w:pPr>
      <w:r>
        <w:rPr>
          <w:rFonts w:hint="eastAsia" w:ascii="方正小标宋_GBK" w:hAnsi="宋体" w:eastAsia="方正小标宋_GBK" w:cs="Times New Roman"/>
          <w:bCs/>
          <w:kern w:val="0"/>
          <w:sz w:val="44"/>
          <w:szCs w:val="32"/>
        </w:rPr>
        <w:t>职业资格考试报考须知</w:t>
      </w:r>
    </w:p>
    <w:p w14:paraId="4FE5B65B">
      <w:pPr>
        <w:widowControl/>
        <w:shd w:val="clear" w:color="auto" w:fill="FFFFFF"/>
        <w:spacing w:line="620" w:lineRule="exact"/>
        <w:ind w:firstLine="420"/>
        <w:rPr>
          <w:rFonts w:ascii="宋体" w:hAnsi="宋体" w:eastAsia="仿宋_GB2312" w:cs="Times New Roman"/>
          <w:kern w:val="0"/>
          <w:sz w:val="32"/>
          <w:szCs w:val="24"/>
        </w:rPr>
      </w:pPr>
    </w:p>
    <w:p w14:paraId="65C56A63">
      <w:pPr>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一、报考人员须认真阅读并知晓《公路水运工程试验检测专业技术人员职业资格考试报名证明事项告知承诺制告知书》。</w:t>
      </w:r>
    </w:p>
    <w:p w14:paraId="77899DD7">
      <w:pPr>
        <w:wordWrap w:val="0"/>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二、报考人员须由本人按照考试报名操作流程完成报名操作，报名时有义务如实提交本人相关信息，报名确认后，所缴费用不予退还。</w:t>
      </w:r>
    </w:p>
    <w:p w14:paraId="63E1F8ED">
      <w:pPr>
        <w:wordWrap w:val="0"/>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三、报考人员提交的个人联系方式信息（包括手机号码，电子邮箱，详细通信地址等），将作为本考试文书（包括但不限于各种通知、告知、处理决定等）经本人确认可收悉的送达地址，采用信函形式的应使用挂号信或者具有良好信誉的特快专递送达。如使用传真或类似的通讯方式，通知日期即为通讯发出日期，如使用挂号信件或特快专递，通知日期即为邮件寄出日期。个人联系方式发生变更的，须及时登录报名系统修改联系方式信息。</w:t>
      </w:r>
    </w:p>
    <w:p w14:paraId="1ED47103">
      <w:pPr>
        <w:wordWrap w:val="0"/>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四、应试人员须遵守国家相关法律法规，遵守考试和考场管理相关规定，自觉接受考试工作人员检查和监督，服从考试工作人员管理，应试人员在考试过程中要妥善保管自己的试卷和答题卡（纸），防止他人抄袭，考试结束后采用技术手段甄别为雷同试卷的考试答卷，将给予考试成绩无效处理。</w:t>
      </w:r>
    </w:p>
    <w:p w14:paraId="3AF25A95">
      <w:pPr>
        <w:overflowPunct w:val="0"/>
        <w:spacing w:line="560" w:lineRule="exact"/>
        <w:ind w:firstLine="600"/>
        <w:rPr>
          <w:rFonts w:ascii="宋体" w:hAnsi="宋体" w:eastAsia="仿宋_GB2312" w:cs="宋体"/>
          <w:sz w:val="32"/>
          <w:szCs w:val="19"/>
          <w:shd w:val="clear" w:color="auto" w:fill="FFFFFF"/>
        </w:rPr>
      </w:pPr>
    </w:p>
    <w:p w14:paraId="09CF6058">
      <w:pPr>
        <w:overflowPunct w:val="0"/>
        <w:adjustRightInd w:val="0"/>
        <w:snapToGrid w:val="0"/>
        <w:spacing w:line="500" w:lineRule="exact"/>
        <w:ind w:right="-59"/>
        <w:jc w:val="center"/>
        <w:rPr>
          <w:rFonts w:ascii="宋体" w:hAnsi="宋体" w:eastAsia="方正小标宋简体" w:cs="Times New Roman"/>
          <w:bCs/>
          <w:spacing w:val="-10"/>
          <w:kern w:val="0"/>
          <w:sz w:val="44"/>
          <w:szCs w:val="32"/>
        </w:rPr>
      </w:pPr>
      <w:r>
        <w:rPr>
          <w:rFonts w:ascii="宋体" w:hAnsi="宋体" w:eastAsia="方正小标宋简体" w:cs="Times New Roman"/>
          <w:bCs/>
          <w:spacing w:val="-10"/>
          <w:kern w:val="0"/>
          <w:sz w:val="44"/>
          <w:szCs w:val="32"/>
        </w:rPr>
        <w:br w:type="page"/>
      </w:r>
    </w:p>
    <w:p w14:paraId="21C5D983">
      <w:pPr>
        <w:overflowPunct w:val="0"/>
        <w:adjustRightInd w:val="0"/>
        <w:snapToGrid w:val="0"/>
        <w:spacing w:line="620" w:lineRule="exact"/>
        <w:ind w:right="-57"/>
        <w:jc w:val="center"/>
        <w:rPr>
          <w:rFonts w:ascii="方正小标宋_GBK" w:hAnsi="宋体" w:eastAsia="方正小标宋_GBK" w:cs="Times New Roman"/>
          <w:bCs/>
          <w:spacing w:val="-10"/>
          <w:kern w:val="0"/>
          <w:sz w:val="44"/>
          <w:szCs w:val="32"/>
        </w:rPr>
      </w:pPr>
      <w:r>
        <w:rPr>
          <w:rFonts w:hint="eastAsia" w:ascii="方正小标宋_GBK" w:hAnsi="宋体" w:eastAsia="方正小标宋_GBK" w:cs="Times New Roman"/>
          <w:bCs/>
          <w:spacing w:val="-10"/>
          <w:kern w:val="0"/>
          <w:sz w:val="44"/>
          <w:szCs w:val="32"/>
        </w:rPr>
        <w:t>公路水运工程试验检测专业技术人员职业资格</w:t>
      </w:r>
    </w:p>
    <w:p w14:paraId="3BEA64A6">
      <w:pPr>
        <w:overflowPunct w:val="0"/>
        <w:adjustRightInd w:val="0"/>
        <w:snapToGrid w:val="0"/>
        <w:spacing w:line="620" w:lineRule="exact"/>
        <w:ind w:right="-57"/>
        <w:jc w:val="center"/>
        <w:rPr>
          <w:rFonts w:ascii="方正小标宋_GBK" w:hAnsi="宋体" w:eastAsia="方正小标宋_GBK" w:cs="Times New Roman"/>
          <w:bCs/>
          <w:kern w:val="0"/>
          <w:sz w:val="44"/>
          <w:szCs w:val="32"/>
        </w:rPr>
      </w:pPr>
      <w:r>
        <w:rPr>
          <w:rFonts w:hint="eastAsia" w:ascii="方正小标宋_GBK" w:hAnsi="宋体" w:eastAsia="方正小标宋_GBK" w:cs="Times New Roman"/>
          <w:bCs/>
          <w:kern w:val="0"/>
          <w:sz w:val="44"/>
          <w:szCs w:val="32"/>
        </w:rPr>
        <w:t>考试报名证明事项告知承诺制告知书</w:t>
      </w:r>
    </w:p>
    <w:p w14:paraId="46E15B5A">
      <w:pPr>
        <w:spacing w:line="600" w:lineRule="exact"/>
        <w:jc w:val="center"/>
        <w:rPr>
          <w:rFonts w:ascii="宋体" w:hAnsi="宋体" w:eastAsia="方正小标宋简体" w:cs="Times New Roman"/>
          <w:sz w:val="32"/>
        </w:rPr>
      </w:pPr>
    </w:p>
    <w:p w14:paraId="0D823ADA">
      <w:pPr>
        <w:wordWrap w:val="0"/>
        <w:overflowPunct w:val="0"/>
        <w:spacing w:line="600" w:lineRule="atLeast"/>
        <w:ind w:firstLine="640" w:firstLineChars="200"/>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一、报考人员须认真阅读并知晓《报考须知》，以及《公路水运工程试验检测专业技术人员职业资格制度规定》和《公路水运工程试验检测专业技术人员职业资格考试实施办法》中关于考试报名条件的规定，报名时有义务如实提交本人相关信息，报考人员应签署《公路水运工程试验检测专业技术人员职业资格考试报名证明事项告知承诺制报考承诺书》（电子文本）。</w:t>
      </w:r>
    </w:p>
    <w:p w14:paraId="73EAA252">
      <w:pPr>
        <w:wordWrap w:val="0"/>
        <w:overflowPunct w:val="0"/>
        <w:spacing w:line="600" w:lineRule="atLeast"/>
        <w:ind w:firstLine="640" w:firstLineChars="200"/>
        <w:jc w:val="left"/>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二、报考人员报名时填写的本人相关信息和上传的有关材料必须真实、有效。省级考试机构依据报考人员报名时作出的承诺为其办理相关事项，并综合运用在线核查、现场核查、协助核查等方式，在考前、考中、考后对报考人员承诺信息进行核查。报考人员应当按照省级考试机构的规定和要求，在规定时限内以规定方式提交或补充有关证明材料。</w:t>
      </w:r>
    </w:p>
    <w:p w14:paraId="32DD4AE2">
      <w:pPr>
        <w:wordWrap w:val="0"/>
        <w:overflowPunct w:val="0"/>
        <w:spacing w:line="600" w:lineRule="atLeast"/>
        <w:ind w:firstLine="640" w:firstLineChars="200"/>
        <w:jc w:val="left"/>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三、在之前公路水运工程试验检测专业技术人员职业资格考试报名中存在不实承诺行为或者有Ⅱ类、Ⅲ类违纪违规行为等被记入资格考试诚信档案库且在记录期内的报考人员，不适用告知承诺制。上述报考人员须按《报考须知》中报名地省级考试机构的规定办理报考相关事项。</w:t>
      </w:r>
    </w:p>
    <w:p w14:paraId="48583AF1">
      <w:pPr>
        <w:wordWrap w:val="0"/>
        <w:overflowPunct w:val="0"/>
        <w:spacing w:line="600" w:lineRule="atLeast"/>
        <w:ind w:firstLine="640" w:firstLineChars="200"/>
        <w:jc w:val="left"/>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四、报考人员承诺后，在核查或日常监管中发现其不符合考试报名条件的，考试报名无效，已缴费用不予退还；取得成绩的，当次全部科目考试成绩无效；取得相应资格证书或者增项专业合格证明的，资格证书或者增项专业合格证明无效。应试人员有故意隐瞒真实情况、提供虚假报名相关证明的或者以其他不正当手段取得相应资格证书或者增项专业合格证明等严重违纪违规行为的，按照相关规定处理，记入资格考试诚信档案库，向用人单位及社会提供查询，通知应试人员所在单位，在信用交通网站和交通职业资格网上公布等。应试人员涉嫌违法犯罪的，依法移送公安机关处理。</w:t>
      </w:r>
    </w:p>
    <w:p w14:paraId="28B0ED64">
      <w:pPr>
        <w:overflowPunct w:val="0"/>
        <w:spacing w:line="560" w:lineRule="exact"/>
        <w:ind w:firstLine="600"/>
        <w:rPr>
          <w:rFonts w:ascii="宋体" w:hAnsi="宋体" w:eastAsia="仿宋_GB2312" w:cs="Times New Roman"/>
          <w:sz w:val="32"/>
          <w:szCs w:val="32"/>
        </w:rPr>
      </w:pPr>
    </w:p>
    <w:p w14:paraId="51CB3710">
      <w:pPr>
        <w:overflowPunct w:val="0"/>
        <w:spacing w:line="560" w:lineRule="exact"/>
        <w:ind w:firstLine="600"/>
        <w:rPr>
          <w:rFonts w:ascii="宋体" w:hAnsi="宋体" w:eastAsia="仿宋_GB2312" w:cs="Times New Roman"/>
          <w:sz w:val="32"/>
          <w:szCs w:val="32"/>
        </w:rPr>
      </w:pPr>
    </w:p>
    <w:p w14:paraId="64499C33">
      <w:pPr>
        <w:overflowPunct w:val="0"/>
        <w:spacing w:line="560" w:lineRule="exact"/>
        <w:ind w:firstLine="600"/>
        <w:rPr>
          <w:rFonts w:ascii="宋体" w:hAnsi="宋体" w:eastAsia="仿宋_GB2312" w:cs="Times New Roman"/>
          <w:sz w:val="32"/>
          <w:szCs w:val="32"/>
        </w:rPr>
      </w:pPr>
    </w:p>
    <w:p w14:paraId="3FBD8C26">
      <w:pPr>
        <w:overflowPunct w:val="0"/>
        <w:spacing w:line="560" w:lineRule="exact"/>
        <w:ind w:firstLine="600"/>
        <w:rPr>
          <w:rFonts w:ascii="宋体" w:hAnsi="宋体" w:eastAsia="仿宋_GB2312" w:cs="Times New Roman"/>
          <w:sz w:val="32"/>
          <w:szCs w:val="32"/>
        </w:rPr>
      </w:pPr>
    </w:p>
    <w:p w14:paraId="6DDBE2C8">
      <w:pPr>
        <w:overflowPunct w:val="0"/>
        <w:spacing w:line="560" w:lineRule="exact"/>
        <w:ind w:firstLine="600"/>
        <w:rPr>
          <w:rFonts w:ascii="宋体" w:hAnsi="宋体" w:eastAsia="仿宋_GB2312" w:cs="Times New Roman"/>
          <w:sz w:val="32"/>
          <w:szCs w:val="32"/>
        </w:rPr>
      </w:pPr>
    </w:p>
    <w:p w14:paraId="49026DCD">
      <w:pPr>
        <w:overflowPunct w:val="0"/>
        <w:spacing w:line="560" w:lineRule="exact"/>
        <w:ind w:firstLine="600"/>
        <w:rPr>
          <w:rFonts w:ascii="宋体" w:hAnsi="宋体" w:eastAsia="仿宋_GB2312" w:cs="Times New Roman"/>
          <w:sz w:val="32"/>
          <w:szCs w:val="32"/>
        </w:rPr>
      </w:pPr>
    </w:p>
    <w:p w14:paraId="7DAD118E">
      <w:pPr>
        <w:overflowPunct w:val="0"/>
        <w:spacing w:line="560" w:lineRule="exact"/>
        <w:ind w:firstLine="600"/>
        <w:rPr>
          <w:rFonts w:ascii="宋体" w:hAnsi="宋体" w:eastAsia="仿宋_GB2312" w:cs="Times New Roman"/>
          <w:sz w:val="32"/>
          <w:szCs w:val="32"/>
        </w:rPr>
      </w:pPr>
    </w:p>
    <w:p w14:paraId="22FA7AC4">
      <w:pPr>
        <w:overflowPunct w:val="0"/>
        <w:spacing w:line="560" w:lineRule="exact"/>
        <w:ind w:firstLine="600"/>
        <w:rPr>
          <w:rFonts w:ascii="宋体" w:hAnsi="宋体" w:eastAsia="仿宋_GB2312" w:cs="Times New Roman"/>
          <w:sz w:val="32"/>
          <w:szCs w:val="32"/>
        </w:rPr>
      </w:pPr>
    </w:p>
    <w:p w14:paraId="73EAFCA3">
      <w:pPr>
        <w:overflowPunct w:val="0"/>
        <w:spacing w:line="560" w:lineRule="exact"/>
        <w:ind w:firstLine="600"/>
        <w:rPr>
          <w:rFonts w:ascii="宋体" w:hAnsi="宋体" w:eastAsia="仿宋_GB2312" w:cs="Times New Roman"/>
          <w:sz w:val="32"/>
          <w:szCs w:val="32"/>
        </w:rPr>
      </w:pPr>
    </w:p>
    <w:p w14:paraId="0605D399">
      <w:pPr>
        <w:overflowPunct w:val="0"/>
        <w:spacing w:line="560" w:lineRule="exact"/>
        <w:ind w:firstLine="600"/>
        <w:rPr>
          <w:rFonts w:ascii="宋体" w:hAnsi="宋体" w:eastAsia="仿宋_GB2312" w:cs="Times New Roman"/>
          <w:sz w:val="32"/>
          <w:szCs w:val="32"/>
        </w:rPr>
      </w:pPr>
    </w:p>
    <w:p w14:paraId="2129D682">
      <w:pPr>
        <w:overflowPunct w:val="0"/>
        <w:spacing w:line="560" w:lineRule="exact"/>
        <w:ind w:firstLine="600"/>
        <w:rPr>
          <w:rFonts w:ascii="宋体" w:hAnsi="宋体" w:eastAsia="仿宋_GB2312" w:cs="Times New Roman"/>
          <w:sz w:val="32"/>
          <w:szCs w:val="32"/>
        </w:rPr>
      </w:pPr>
    </w:p>
    <w:p w14:paraId="6F81041A">
      <w:pPr>
        <w:overflowPunct w:val="0"/>
        <w:adjustRightInd w:val="0"/>
        <w:snapToGrid w:val="0"/>
        <w:spacing w:line="620" w:lineRule="exact"/>
        <w:ind w:right="-57"/>
        <w:jc w:val="center"/>
        <w:rPr>
          <w:rFonts w:ascii="方正小标宋_GBK" w:hAnsi="宋体" w:eastAsia="方正小标宋_GBK" w:cs="Times New Roman"/>
          <w:bCs/>
          <w:spacing w:val="-10"/>
          <w:kern w:val="0"/>
          <w:sz w:val="44"/>
          <w:szCs w:val="32"/>
        </w:rPr>
      </w:pPr>
      <w:r>
        <w:rPr>
          <w:rFonts w:hint="eastAsia" w:ascii="方正小标宋_GBK" w:hAnsi="宋体" w:eastAsia="方正小标宋_GBK" w:cs="Times New Roman"/>
          <w:bCs/>
          <w:spacing w:val="-10"/>
          <w:kern w:val="0"/>
          <w:sz w:val="44"/>
          <w:szCs w:val="32"/>
        </w:rPr>
        <w:t>公路水运工程试验检测专业技术人员职业资格</w:t>
      </w:r>
    </w:p>
    <w:p w14:paraId="427F3E8F">
      <w:pPr>
        <w:overflowPunct w:val="0"/>
        <w:adjustRightInd w:val="0"/>
        <w:snapToGrid w:val="0"/>
        <w:spacing w:line="620" w:lineRule="exact"/>
        <w:ind w:right="-57"/>
        <w:jc w:val="center"/>
        <w:rPr>
          <w:rFonts w:ascii="方正小标宋_GBK" w:hAnsi="宋体" w:eastAsia="方正小标宋_GBK" w:cs="Times New Roman"/>
          <w:bCs/>
          <w:kern w:val="0"/>
          <w:sz w:val="44"/>
          <w:szCs w:val="32"/>
        </w:rPr>
      </w:pPr>
      <w:r>
        <w:rPr>
          <w:rFonts w:hint="eastAsia" w:ascii="方正小标宋_GBK" w:hAnsi="宋体" w:eastAsia="方正小标宋_GBK" w:cs="Times New Roman"/>
          <w:bCs/>
          <w:kern w:val="0"/>
          <w:sz w:val="44"/>
          <w:szCs w:val="32"/>
        </w:rPr>
        <w:t>考试报名证明事项告知承诺制报考承诺书</w:t>
      </w:r>
    </w:p>
    <w:p w14:paraId="165965DB">
      <w:pPr>
        <w:spacing w:line="600" w:lineRule="exact"/>
        <w:ind w:firstLine="640" w:firstLineChars="200"/>
        <w:rPr>
          <w:rFonts w:ascii="宋体" w:hAnsi="宋体" w:eastAsia="黑体" w:cs="Times New Roman"/>
          <w:sz w:val="32"/>
          <w:szCs w:val="32"/>
        </w:rPr>
      </w:pPr>
    </w:p>
    <w:p w14:paraId="54782182">
      <w:pPr>
        <w:wordWrap w:val="0"/>
        <w:overflowPunct w:val="0"/>
        <w:spacing w:line="600" w:lineRule="atLeast"/>
        <w:ind w:firstLine="640" w:firstLineChars="200"/>
        <w:jc w:val="left"/>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本人</w:t>
      </w:r>
      <w:r>
        <w:rPr>
          <w:rFonts w:ascii="Times New Roman" w:hAnsi="Times New Roman" w:eastAsia="方正仿宋_GBK" w:cs="Times New Roman"/>
          <w:snapToGrid w:val="0"/>
          <w:kern w:val="0"/>
          <w:sz w:val="32"/>
        </w:rPr>
        <w:t>已认真阅读</w:t>
      </w:r>
      <w:r>
        <w:rPr>
          <w:rFonts w:hint="eastAsia" w:ascii="Times New Roman" w:hAnsi="Times New Roman" w:eastAsia="方正仿宋_GBK" w:cs="Times New Roman"/>
          <w:snapToGrid w:val="0"/>
          <w:kern w:val="0"/>
          <w:sz w:val="32"/>
        </w:rPr>
        <w:t>《公路水运工程试验检测专业技术人员职业资格考试报名证明事项告知承诺制告知书》及相关规定</w:t>
      </w:r>
      <w:r>
        <w:rPr>
          <w:rFonts w:ascii="Times New Roman" w:hAnsi="Times New Roman" w:eastAsia="方正仿宋_GBK" w:cs="Times New Roman"/>
          <w:snapToGrid w:val="0"/>
          <w:kern w:val="0"/>
          <w:sz w:val="32"/>
        </w:rPr>
        <w:t>，对承诺内容及不实承诺的责任已充分知晓。在此</w:t>
      </w:r>
      <w:r>
        <w:rPr>
          <w:rFonts w:hint="eastAsia" w:ascii="Times New Roman" w:hAnsi="Times New Roman" w:eastAsia="方正仿宋_GBK" w:cs="Times New Roman"/>
          <w:snapToGrid w:val="0"/>
          <w:kern w:val="0"/>
          <w:sz w:val="32"/>
        </w:rPr>
        <w:t>，</w:t>
      </w:r>
      <w:r>
        <w:rPr>
          <w:rFonts w:ascii="Times New Roman" w:hAnsi="Times New Roman" w:eastAsia="方正仿宋_GBK" w:cs="Times New Roman"/>
          <w:snapToGrid w:val="0"/>
          <w:kern w:val="0"/>
          <w:sz w:val="32"/>
        </w:rPr>
        <w:t>我郑重承诺：本</w:t>
      </w:r>
      <w:r>
        <w:rPr>
          <w:rFonts w:hint="eastAsia" w:ascii="Times New Roman" w:hAnsi="Times New Roman" w:eastAsia="方正仿宋_GBK" w:cs="Times New Roman"/>
          <w:snapToGrid w:val="0"/>
          <w:kern w:val="0"/>
          <w:sz w:val="32"/>
        </w:rPr>
        <w:t>人</w:t>
      </w:r>
      <w:r>
        <w:rPr>
          <w:rFonts w:ascii="Times New Roman" w:hAnsi="Times New Roman" w:eastAsia="方正仿宋_GBK" w:cs="Times New Roman"/>
          <w:snapToGrid w:val="0"/>
          <w:kern w:val="0"/>
          <w:sz w:val="32"/>
        </w:rPr>
        <w:t>符合本项考试报名条件，填报和提交的所有信息均真实、客观，愿意接受并配合</w:t>
      </w:r>
      <w:r>
        <w:rPr>
          <w:rFonts w:hint="eastAsia" w:ascii="Times New Roman" w:hAnsi="Times New Roman" w:eastAsia="方正仿宋_GBK" w:cs="Times New Roman"/>
          <w:snapToGrid w:val="0"/>
          <w:kern w:val="0"/>
          <w:sz w:val="32"/>
        </w:rPr>
        <w:t>考试机构</w:t>
      </w:r>
      <w:r>
        <w:rPr>
          <w:rFonts w:ascii="Times New Roman" w:hAnsi="Times New Roman" w:eastAsia="方正仿宋_GBK" w:cs="Times New Roman"/>
          <w:snapToGrid w:val="0"/>
          <w:kern w:val="0"/>
          <w:sz w:val="32"/>
        </w:rPr>
        <w:t>的核查，愿意承担不实承诺的相关责任并接受处理。</w:t>
      </w:r>
    </w:p>
    <w:p w14:paraId="75A255E5">
      <w:pPr>
        <w:wordWrap w:val="0"/>
        <w:overflowPunct w:val="0"/>
        <w:spacing w:line="600" w:lineRule="atLeast"/>
        <w:ind w:firstLine="640" w:firstLineChars="200"/>
        <w:jc w:val="left"/>
        <w:rPr>
          <w:rFonts w:ascii="Times New Roman" w:hAnsi="Times New Roman" w:eastAsia="方正仿宋_GBK" w:cs="Times New Roman"/>
          <w:snapToGrid w:val="0"/>
          <w:kern w:val="0"/>
          <w:sz w:val="32"/>
        </w:rPr>
      </w:pPr>
    </w:p>
    <w:p w14:paraId="5C6FD6E0">
      <w:pPr>
        <w:wordWrap w:val="0"/>
        <w:overflowPunct w:val="0"/>
        <w:spacing w:line="600" w:lineRule="atLeast"/>
        <w:ind w:firstLine="2880" w:firstLineChars="900"/>
        <w:jc w:val="left"/>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承诺人（签字）：_____________</w:t>
      </w:r>
    </w:p>
    <w:p w14:paraId="58E6ADD8">
      <w:pPr>
        <w:wordWrap w:val="0"/>
        <w:overflowPunct w:val="0"/>
        <w:spacing w:line="600" w:lineRule="atLeast"/>
        <w:ind w:firstLine="2880" w:firstLineChars="900"/>
        <w:jc w:val="left"/>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承诺人身份证件号：_____________</w:t>
      </w:r>
    </w:p>
    <w:p w14:paraId="45A40544">
      <w:pPr>
        <w:wordWrap w:val="0"/>
        <w:overflowPunct w:val="0"/>
        <w:spacing w:line="600" w:lineRule="atLeast"/>
        <w:ind w:firstLine="2880" w:firstLineChars="900"/>
        <w:jc w:val="left"/>
        <w:rPr>
          <w:rFonts w:ascii="Times New Roman" w:hAnsi="Times New Roman" w:eastAsia="方正仿宋_GBK" w:cs="Times New Roman"/>
          <w:snapToGrid w:val="0"/>
          <w:kern w:val="0"/>
          <w:sz w:val="32"/>
        </w:rPr>
      </w:pPr>
      <w:r>
        <w:rPr>
          <w:rFonts w:hint="eastAsia" w:ascii="Times New Roman" w:hAnsi="Times New Roman" w:eastAsia="方正仿宋_GBK" w:cs="Times New Roman"/>
          <w:snapToGrid w:val="0"/>
          <w:kern w:val="0"/>
          <w:sz w:val="32"/>
        </w:rPr>
        <w:t>承诺日期：______年___月___日</w:t>
      </w:r>
    </w:p>
    <w:p w14:paraId="2C0B25A4">
      <w:pPr>
        <w:overflowPunct w:val="0"/>
        <w:spacing w:line="560" w:lineRule="exact"/>
        <w:ind w:firstLine="600"/>
        <w:rPr>
          <w:rFonts w:ascii="宋体" w:hAnsi="宋体" w:eastAsia="仿宋_GB2312" w:cs="Times New Roman"/>
          <w:kern w:val="0"/>
          <w:sz w:val="32"/>
        </w:rPr>
      </w:pPr>
    </w:p>
    <w:p w14:paraId="3DEBD656">
      <w:pPr>
        <w:rPr>
          <w:rFonts w:ascii="Calibri" w:hAnsi="Calibri" w:eastAsia="宋体" w:cs="Times New Roman"/>
        </w:rPr>
      </w:pPr>
    </w:p>
    <w:p w14:paraId="46EDBF39">
      <w:pPr>
        <w:widowControl/>
        <w:jc w:val="center"/>
        <w:rPr>
          <w:rFonts w:ascii="Calibri" w:hAnsi="Calibri" w:eastAsia="宋体" w:cs="Times New Roman"/>
        </w:rPr>
      </w:pPr>
    </w:p>
    <w:p w14:paraId="129125F0">
      <w:pPr>
        <w:widowControl/>
        <w:jc w:val="center"/>
        <w:rPr>
          <w:rFonts w:ascii="方正小标宋简体" w:hAnsi="Times New Roman" w:eastAsia="方正小标宋简体" w:cs="Times New Roman"/>
          <w:snapToGrid w:val="0"/>
          <w:color w:val="000000"/>
          <w:kern w:val="0"/>
          <w:sz w:val="32"/>
          <w:szCs w:val="24"/>
        </w:rPr>
      </w:pPr>
    </w:p>
    <w:p w14:paraId="665AFB69">
      <w:pPr>
        <w:widowControl/>
        <w:jc w:val="center"/>
        <w:rPr>
          <w:rFonts w:ascii="方正小标宋简体" w:hAnsi="Times New Roman" w:eastAsia="方正小标宋简体" w:cs="Times New Roman"/>
          <w:snapToGrid w:val="0"/>
          <w:color w:val="000000"/>
          <w:kern w:val="0"/>
          <w:sz w:val="32"/>
          <w:szCs w:val="24"/>
        </w:rPr>
      </w:pPr>
    </w:p>
    <w:p w14:paraId="2D7EF0B0">
      <w:pPr>
        <w:widowControl/>
        <w:jc w:val="center"/>
        <w:rPr>
          <w:rFonts w:ascii="方正小标宋简体" w:hAnsi="Times New Roman" w:eastAsia="方正小标宋简体" w:cs="Times New Roman"/>
          <w:snapToGrid w:val="0"/>
          <w:color w:val="000000"/>
          <w:kern w:val="0"/>
          <w:sz w:val="32"/>
          <w:szCs w:val="24"/>
        </w:rPr>
      </w:pPr>
    </w:p>
    <w:p w14:paraId="5CF9251D">
      <w:pPr>
        <w:widowControl/>
        <w:jc w:val="center"/>
        <w:rPr>
          <w:rFonts w:ascii="方正小标宋简体" w:hAnsi="Times New Roman" w:eastAsia="方正小标宋简体" w:cs="Times New Roman"/>
          <w:snapToGrid w:val="0"/>
          <w:color w:val="000000"/>
          <w:kern w:val="0"/>
          <w:sz w:val="32"/>
          <w:szCs w:val="24"/>
        </w:rPr>
      </w:pPr>
    </w:p>
    <w:p w14:paraId="483976AA">
      <w:pPr>
        <w:widowControl/>
        <w:jc w:val="center"/>
        <w:rPr>
          <w:rFonts w:ascii="方正小标宋简体" w:hAnsi="Times New Roman" w:eastAsia="方正小标宋简体" w:cs="Times New Roman"/>
          <w:snapToGrid w:val="0"/>
          <w:color w:val="000000"/>
          <w:kern w:val="0"/>
          <w:sz w:val="32"/>
          <w:szCs w:val="24"/>
        </w:rPr>
      </w:pPr>
    </w:p>
    <w:p w14:paraId="68899F17">
      <w:pPr>
        <w:rPr>
          <w:rFonts w:hint="eastAsia"/>
        </w:rPr>
      </w:pPr>
    </w:p>
    <w:sectPr>
      <w:footerReference r:id="rId3" w:type="default"/>
      <w:pgSz w:w="11906" w:h="16838"/>
      <w:pgMar w:top="2098" w:right="1474"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方正小标宋简体">
    <w:altName w:val="Arial Unicode MS"/>
    <w:panose1 w:val="00000000000000000000"/>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984732"/>
      <w:docPartObj>
        <w:docPartGallery w:val="autotext"/>
      </w:docPartObj>
    </w:sdtPr>
    <w:sdtEndPr>
      <w:rPr>
        <w:rFonts w:ascii="Times New Roman" w:hAnsi="Times New Roman"/>
        <w:sz w:val="24"/>
        <w:szCs w:val="24"/>
      </w:rPr>
    </w:sdtEndPr>
    <w:sdtContent>
      <w:p w14:paraId="680845A9">
        <w:pPr>
          <w:pStyle w:val="2"/>
          <w:numPr>
            <w:ilvl w:val="0"/>
            <w:numId w:val="1"/>
          </w:numPr>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Pr>
            <w:rFonts w:ascii="Times New Roman" w:hAnsi="Times New Roman"/>
            <w:sz w:val="24"/>
            <w:szCs w:val="24"/>
            <w:lang w:val="zh-CN"/>
          </w:rPr>
          <w:t>4</w:t>
        </w:r>
        <w:r>
          <w:rPr>
            <w:rFonts w:ascii="Times New Roman" w:hAnsi="Times New Roman"/>
            <w:sz w:val="24"/>
            <w:szCs w:val="24"/>
          </w:rPr>
          <w:fldChar w:fldCharType="end"/>
        </w:r>
        <w:r>
          <w:rPr>
            <w:rFonts w:ascii="Times New Roman" w:hAnsi="Times New Roman"/>
            <w:sz w:val="24"/>
            <w:szCs w:val="24"/>
          </w:rPr>
          <w:t xml:space="preserve"> —</w:t>
        </w:r>
      </w:p>
    </w:sdtContent>
  </w:sdt>
  <w:p w14:paraId="55449EB2">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402CA8"/>
    <w:multiLevelType w:val="multilevel"/>
    <w:tmpl w:val="1A402CA8"/>
    <w:lvl w:ilvl="0" w:tentative="0">
      <w:start w:val="1"/>
      <w:numFmt w:val="japaneseCounting"/>
      <w:lvlText w:val="%1、"/>
      <w:lvlJc w:val="left"/>
      <w:pPr>
        <w:ind w:left="1356" w:hanging="720"/>
      </w:pPr>
      <w:rPr>
        <w:rFonts w:hint="default" w:ascii="Times New Roman"/>
        <w:color w:val="auto"/>
      </w:rPr>
    </w:lvl>
    <w:lvl w:ilvl="1" w:tentative="0">
      <w:start w:val="1"/>
      <w:numFmt w:val="lowerLetter"/>
      <w:lvlText w:val="%2)"/>
      <w:lvlJc w:val="left"/>
      <w:pPr>
        <w:ind w:left="1476" w:hanging="420"/>
      </w:pPr>
      <w:rPr>
        <w:rFonts w:hint="default" w:ascii="Times New Roman"/>
      </w:rPr>
    </w:lvl>
    <w:lvl w:ilvl="2" w:tentative="0">
      <w:start w:val="1"/>
      <w:numFmt w:val="lowerRoman"/>
      <w:lvlText w:val="%3."/>
      <w:lvlJc w:val="right"/>
      <w:pPr>
        <w:ind w:left="1896" w:hanging="420"/>
      </w:pPr>
      <w:rPr>
        <w:rFonts w:hint="default" w:ascii="Times New Roman"/>
      </w:rPr>
    </w:lvl>
    <w:lvl w:ilvl="3" w:tentative="0">
      <w:start w:val="1"/>
      <w:numFmt w:val="decimal"/>
      <w:lvlText w:val="%4."/>
      <w:lvlJc w:val="left"/>
      <w:pPr>
        <w:ind w:left="2316" w:hanging="420"/>
      </w:pPr>
      <w:rPr>
        <w:rFonts w:hint="default" w:ascii="Times New Roman"/>
      </w:rPr>
    </w:lvl>
    <w:lvl w:ilvl="4" w:tentative="0">
      <w:start w:val="1"/>
      <w:numFmt w:val="lowerLetter"/>
      <w:lvlText w:val="%5)"/>
      <w:lvlJc w:val="left"/>
      <w:pPr>
        <w:ind w:left="2736" w:hanging="420"/>
      </w:pPr>
      <w:rPr>
        <w:rFonts w:hint="default" w:ascii="Times New Roman"/>
      </w:rPr>
    </w:lvl>
    <w:lvl w:ilvl="5" w:tentative="0">
      <w:start w:val="1"/>
      <w:numFmt w:val="lowerRoman"/>
      <w:lvlText w:val="%6."/>
      <w:lvlJc w:val="right"/>
      <w:pPr>
        <w:ind w:left="3156" w:hanging="420"/>
      </w:pPr>
      <w:rPr>
        <w:rFonts w:hint="default" w:ascii="Times New Roman"/>
      </w:rPr>
    </w:lvl>
    <w:lvl w:ilvl="6" w:tentative="0">
      <w:start w:val="1"/>
      <w:numFmt w:val="decimal"/>
      <w:lvlText w:val="%7."/>
      <w:lvlJc w:val="left"/>
      <w:pPr>
        <w:ind w:left="3576" w:hanging="420"/>
      </w:pPr>
      <w:rPr>
        <w:rFonts w:hint="default" w:ascii="Times New Roman"/>
      </w:rPr>
    </w:lvl>
    <w:lvl w:ilvl="7" w:tentative="0">
      <w:start w:val="1"/>
      <w:numFmt w:val="lowerLetter"/>
      <w:lvlText w:val="%8)"/>
      <w:lvlJc w:val="left"/>
      <w:pPr>
        <w:ind w:left="3996" w:hanging="420"/>
      </w:pPr>
      <w:rPr>
        <w:rFonts w:hint="default" w:ascii="Times New Roman"/>
      </w:rPr>
    </w:lvl>
    <w:lvl w:ilvl="8" w:tentative="0">
      <w:start w:val="1"/>
      <w:numFmt w:val="lowerRoman"/>
      <w:lvlText w:val="%9."/>
      <w:lvlJc w:val="right"/>
      <w:pPr>
        <w:ind w:left="4416" w:hanging="420"/>
      </w:pPr>
      <w:rPr>
        <w:rFonts w:hint="default" w:ascii="Times New Roman"/>
      </w:rPr>
    </w:lvl>
  </w:abstractNum>
  <w:abstractNum w:abstractNumId="1">
    <w:nsid w:val="2EBA4DB1"/>
    <w:multiLevelType w:val="multilevel"/>
    <w:tmpl w:val="2EBA4DB1"/>
    <w:lvl w:ilvl="0" w:tentative="0">
      <w:start w:val="2"/>
      <w:numFmt w:val="bullet"/>
      <w:lvlText w:val="—"/>
      <w:lvlJc w:val="left"/>
      <w:pPr>
        <w:ind w:left="360" w:hanging="360"/>
      </w:pPr>
      <w:rPr>
        <w:rFonts w:hint="default" w:ascii="Times New Roman" w:hAnsi="Times New Roman" w:eastAsia="宋体" w:cs="Times New Roman"/>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976"/>
    <w:rsid w:val="00652976"/>
    <w:rsid w:val="00AE713D"/>
    <w:rsid w:val="1BBD11AE"/>
    <w:rsid w:val="34D512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footer"/>
    <w:basedOn w:val="1"/>
    <w:link w:val="5"/>
    <w:unhideWhenUsed/>
    <w:qFormat/>
    <w:uiPriority w:val="99"/>
    <w:pPr>
      <w:tabs>
        <w:tab w:val="center" w:pos="4153"/>
        <w:tab w:val="right" w:pos="8306"/>
      </w:tabs>
      <w:snapToGrid w:val="0"/>
      <w:jc w:val="left"/>
    </w:pPr>
    <w:rPr>
      <w:rFonts w:ascii="Calibri" w:hAnsi="Calibri" w:eastAsia="宋体" w:cs="Times New Roman"/>
      <w:sz w:val="18"/>
      <w:szCs w:val="18"/>
    </w:rPr>
  </w:style>
  <w:style w:type="character" w:customStyle="1" w:styleId="5">
    <w:name w:val="页脚 Char"/>
    <w:basedOn w:val="4"/>
    <w:link w:val="2"/>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3635</Words>
  <Characters>3851</Characters>
  <Lines>28</Lines>
  <Paragraphs>8</Paragraphs>
  <TotalTime>2</TotalTime>
  <ScaleCrop>false</ScaleCrop>
  <LinksUpToDate>false</LinksUpToDate>
  <CharactersWithSpaces>3884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2026-07-23T01:05:00Z</dcterms:created>
  <dc:creator>南京交通职业技术学院</dc:creator>
  <cp:lastModifiedBy>S-mile</cp:lastModifiedBy>
  <cp:lastPrinted>2026-07-23T09:08:00Z</cp:lastPrinted>
  <dcterms:modified xsi:type="dcterms:W3CDTF">2026-07-24T02:06:05Z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eyJoZGlkIjoiYjMxMTFlZTQ3YzVmNzA5NGQzMTQ1MzlhY2Y5YTU2NWIiLCJ1c2VySWQiOiIzNDQxODU0OTAifQ==</vt:lpwstr>
  </property>
  <property fmtid="{D5CDD505-2E9C-101B-9397-08002B2CF9AE}" pid="3" name="KSOProductBuildVer">
    <vt:lpwstr>2052-12.1.0.26895</vt:lpwstr>
  </property>
  <property fmtid="{D5CDD505-2E9C-101B-9397-08002B2CF9AE}" pid="4" name="ICV">
    <vt:lpwstr>DC0C0DB3C65B4B2691E6BF0BB407AEB1_12</vt:lpwstr>
  </property>
</Properties>
</file>