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B4992E" w14:textId="77777777" w:rsidR="002125D3" w:rsidRDefault="002320C2">
      <w:pPr>
        <w:autoSpaceDE w:val="0"/>
        <w:autoSpaceDN w:val="0"/>
        <w:adjustRightInd w:val="0"/>
        <w:spacing w:after="160" w:line="56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《江苏省危险货物道路运输安全管理办法</w:t>
      </w:r>
    </w:p>
    <w:p w14:paraId="3E70BAC3" w14:textId="19DF3240" w:rsidR="002125D3" w:rsidRDefault="002320C2">
      <w:pPr>
        <w:autoSpaceDE w:val="0"/>
        <w:autoSpaceDN w:val="0"/>
        <w:adjustRightInd w:val="0"/>
        <w:spacing w:after="160" w:line="56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（草案）》</w:t>
      </w:r>
      <w:r w:rsidR="002C1610">
        <w:rPr>
          <w:rFonts w:ascii="Times New Roman" w:eastAsia="方正小标宋_GBK" w:hAnsi="Times New Roman" w:cs="Times New Roman" w:hint="eastAsia"/>
          <w:sz w:val="44"/>
          <w:szCs w:val="44"/>
        </w:rPr>
        <w:t>的</w:t>
      </w:r>
      <w:r>
        <w:rPr>
          <w:rFonts w:ascii="Times New Roman" w:eastAsia="方正小标宋_GBK" w:hAnsi="Times New Roman" w:cs="Times New Roman"/>
          <w:sz w:val="44"/>
          <w:szCs w:val="44"/>
        </w:rPr>
        <w:t>起草说明</w:t>
      </w:r>
    </w:p>
    <w:p w14:paraId="12033FFC" w14:textId="0E5480AA"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为深入贯彻落实习近平总书记关于安全生产的重要指示批示精神，全面落实省委、省政府强化危险货</w:t>
      </w:r>
      <w:bookmarkStart w:id="0" w:name="_GoBack"/>
      <w:bookmarkEnd w:id="0"/>
      <w:r>
        <w:rPr>
          <w:rFonts w:ascii="Times New Roman" w:eastAsia="方正仿宋_GBK" w:hAnsi="Times New Roman" w:cs="Times New Roman" w:hint="eastAsia"/>
          <w:sz w:val="32"/>
          <w:szCs w:val="32"/>
        </w:rPr>
        <w:t>物道路运输全链条安全监管的工作要求，统筹高质量发展和高水平安全，着力破解我省危货道路运输安全监管难题、补齐监管短板，推动安全治理模式向事前预防转型，省交通运输厅牵头起草了《江苏省危险货物道路运输安全管理办法（草案）》（以下称《办法》）。现就《办法》起草有关情况说明如下：</w:t>
      </w:r>
    </w:p>
    <w:p w14:paraId="5A376E21" w14:textId="77777777" w:rsidR="002125D3" w:rsidRDefault="002320C2">
      <w:pPr>
        <w:pStyle w:val="1"/>
        <w:rPr>
          <w:color w:val="000000"/>
        </w:rPr>
      </w:pPr>
      <w:r>
        <w:rPr>
          <w:rFonts w:hint="eastAsia"/>
        </w:rPr>
        <w:t>一、</w:t>
      </w:r>
      <w:r>
        <w:rPr>
          <w:color w:val="000000"/>
        </w:rPr>
        <w:t>立法的必要性</w:t>
      </w:r>
    </w:p>
    <w:p w14:paraId="2E1A276D" w14:textId="4B02AE21" w:rsidR="002125D3" w:rsidRDefault="002320C2">
      <w:pPr>
        <w:pStyle w:val="2"/>
        <w:autoSpaceDE/>
        <w:autoSpaceDN/>
      </w:pPr>
      <w:bookmarkStart w:id="1" w:name="heading_1"/>
      <w:r>
        <w:t>（一）落实上级部署要求的</w:t>
      </w:r>
      <w:r w:rsidR="001F4CB9">
        <w:rPr>
          <w:rFonts w:hint="eastAsia"/>
        </w:rPr>
        <w:t>迫切需要</w:t>
      </w:r>
      <w:bookmarkEnd w:id="1"/>
    </w:p>
    <w:p w14:paraId="6360C41C" w14:textId="40DF0F04"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党的十八大以来，习近平总书记多次强调要加强交通运输、危险化学品等重点领域安全生产治理，遏制重特大事故发生。</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国务院安委会出台《关于强化危险化学品“一件事”全链条安全管理的措施》，对危货道路运输全主体、全品种、全链条监管提出明确要求。省委、省政府领导多次对我省危货道路运输安全管理作出批示，要求加大查处打击力度、提升安全韧性、强化数智化监管和源头管控。制定《办法》是我省将中央和省委、省政府部署要求转化为制度规范，坚决扛起安全生产政治责任的重要举措。</w:t>
      </w:r>
    </w:p>
    <w:p w14:paraId="4D36B362" w14:textId="77777777" w:rsidR="002125D3" w:rsidRDefault="002320C2">
      <w:pPr>
        <w:pStyle w:val="2"/>
      </w:pPr>
      <w:bookmarkStart w:id="2" w:name="heading_2"/>
      <w:r>
        <w:t>（二）应对我省行业监管实际的迫切需要</w:t>
      </w:r>
      <w:bookmarkEnd w:id="2"/>
    </w:p>
    <w:p w14:paraId="2954F292" w14:textId="5E882C22"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我省是经济大省、制造业大省、化工大省，危货道路运输呈</w:t>
      </w:r>
      <w:r>
        <w:rPr>
          <w:rFonts w:ascii="Times New Roman" w:eastAsia="方正仿宋_GBK" w:hAnsi="Times New Roman" w:cs="Times New Roman" w:hint="eastAsia"/>
          <w:sz w:val="32"/>
          <w:szCs w:val="32"/>
        </w:rPr>
        <w:lastRenderedPageBreak/>
        <w:t>现规模大、种类全、监管难、风险高的鲜明特点，监管任务艰巨繁重。截至</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11</w:t>
      </w:r>
      <w:r>
        <w:rPr>
          <w:rFonts w:ascii="Times New Roman" w:eastAsia="方正仿宋_GBK" w:hAnsi="Times New Roman" w:cs="Times New Roman" w:hint="eastAsia"/>
          <w:sz w:val="32"/>
          <w:szCs w:val="32"/>
        </w:rPr>
        <w:t>月底，全省有危货道路运输企业</w:t>
      </w:r>
      <w:r>
        <w:rPr>
          <w:rFonts w:ascii="Times New Roman" w:eastAsia="方正仿宋_GBK" w:hAnsi="Times New Roman" w:cs="Times New Roman" w:hint="eastAsia"/>
          <w:sz w:val="32"/>
          <w:szCs w:val="32"/>
        </w:rPr>
        <w:t>1025</w:t>
      </w:r>
      <w:r>
        <w:rPr>
          <w:rFonts w:ascii="Times New Roman" w:eastAsia="方正仿宋_GBK" w:hAnsi="Times New Roman" w:cs="Times New Roman" w:hint="eastAsia"/>
          <w:sz w:val="32"/>
          <w:szCs w:val="32"/>
        </w:rPr>
        <w:t>家、车辆</w:t>
      </w:r>
      <w:r>
        <w:rPr>
          <w:rFonts w:ascii="Times New Roman" w:eastAsia="方正仿宋_GBK" w:hAnsi="Times New Roman" w:cs="Times New Roman" w:hint="eastAsia"/>
          <w:sz w:val="32"/>
          <w:szCs w:val="32"/>
        </w:rPr>
        <w:t>2.5</w:t>
      </w:r>
      <w:r>
        <w:rPr>
          <w:rFonts w:ascii="Times New Roman" w:eastAsia="方正仿宋_GBK" w:hAnsi="Times New Roman" w:cs="Times New Roman" w:hint="eastAsia"/>
          <w:sz w:val="32"/>
          <w:szCs w:val="32"/>
        </w:rPr>
        <w:t>万辆（不含</w:t>
      </w:r>
      <w:r>
        <w:rPr>
          <w:rFonts w:ascii="Times New Roman" w:eastAsia="方正仿宋_GBK" w:hAnsi="Times New Roman" w:cs="Times New Roman" w:hint="eastAsia"/>
          <w:sz w:val="32"/>
          <w:szCs w:val="32"/>
        </w:rPr>
        <w:t>1.8</w:t>
      </w:r>
      <w:r>
        <w:rPr>
          <w:rFonts w:ascii="Times New Roman" w:eastAsia="方正仿宋_GBK" w:hAnsi="Times New Roman" w:cs="Times New Roman" w:hint="eastAsia"/>
          <w:sz w:val="32"/>
          <w:szCs w:val="32"/>
        </w:rPr>
        <w:t>万辆挂车），主要指标均居全国前列；拥有化工园区</w:t>
      </w:r>
      <w:r>
        <w:rPr>
          <w:rFonts w:ascii="Times New Roman" w:eastAsia="方正仿宋_GBK" w:hAnsi="Times New Roman" w:cs="Times New Roman" w:hint="eastAsia"/>
          <w:sz w:val="32"/>
          <w:szCs w:val="32"/>
        </w:rPr>
        <w:t>28</w:t>
      </w:r>
      <w:r>
        <w:rPr>
          <w:rFonts w:ascii="Times New Roman" w:eastAsia="方正仿宋_GBK" w:hAnsi="Times New Roman" w:cs="Times New Roman" w:hint="eastAsia"/>
          <w:sz w:val="32"/>
          <w:szCs w:val="32"/>
        </w:rPr>
        <w:t>个，承运货种覆盖危险货物</w:t>
      </w:r>
      <w:r>
        <w:rPr>
          <w:rFonts w:ascii="Times New Roman" w:eastAsia="方正仿宋_GBK" w:hAnsi="Times New Roman" w:cs="Times New Roman" w:hint="eastAsia"/>
          <w:sz w:val="32"/>
          <w:szCs w:val="32"/>
        </w:rPr>
        <w:t>9</w:t>
      </w:r>
      <w:r>
        <w:rPr>
          <w:rFonts w:ascii="Times New Roman" w:eastAsia="方正仿宋_GBK" w:hAnsi="Times New Roman" w:cs="Times New Roman" w:hint="eastAsia"/>
          <w:sz w:val="32"/>
          <w:szCs w:val="32"/>
        </w:rPr>
        <w:t>大类；全省高速公路和国省干线日均通行外省籍危货车辆</w:t>
      </w:r>
      <w:r>
        <w:rPr>
          <w:rFonts w:ascii="Times New Roman" w:eastAsia="方正仿宋_GBK" w:hAnsi="Times New Roman" w:cs="Times New Roman" w:hint="eastAsia"/>
          <w:sz w:val="32"/>
          <w:szCs w:val="32"/>
        </w:rPr>
        <w:t>1.48</w:t>
      </w:r>
      <w:r>
        <w:rPr>
          <w:rFonts w:ascii="Times New Roman" w:eastAsia="方正仿宋_GBK" w:hAnsi="Times New Roman" w:cs="Times New Roman" w:hint="eastAsia"/>
          <w:sz w:val="32"/>
          <w:szCs w:val="32"/>
        </w:rPr>
        <w:t>万辆，占比达</w:t>
      </w:r>
      <w:r>
        <w:rPr>
          <w:rFonts w:ascii="Times New Roman" w:eastAsia="方正仿宋_GBK" w:hAnsi="Times New Roman" w:cs="Times New Roman" w:hint="eastAsia"/>
          <w:sz w:val="32"/>
          <w:szCs w:val="32"/>
        </w:rPr>
        <w:t>45%</w:t>
      </w:r>
      <w:r>
        <w:rPr>
          <w:rFonts w:ascii="Times New Roman" w:eastAsia="方正仿宋_GBK" w:hAnsi="Times New Roman" w:cs="Times New Roman" w:hint="eastAsia"/>
          <w:sz w:val="32"/>
          <w:szCs w:val="32"/>
        </w:rPr>
        <w:t>，输入型风险居高不下。</w:t>
      </w:r>
      <w:r w:rsidR="001F4CB9">
        <w:rPr>
          <w:rFonts w:ascii="Times New Roman" w:eastAsia="方正仿宋_GBK" w:hAnsi="Times New Roman" w:cs="Times New Roman" w:hint="eastAsia"/>
          <w:sz w:val="32"/>
          <w:szCs w:val="32"/>
        </w:rPr>
        <w:t>同时，</w:t>
      </w:r>
      <w:r>
        <w:rPr>
          <w:rFonts w:ascii="Times New Roman" w:eastAsia="方正仿宋_GBK" w:hAnsi="Times New Roman" w:cs="Times New Roman" w:hint="eastAsia"/>
          <w:sz w:val="32"/>
          <w:szCs w:val="32"/>
        </w:rPr>
        <w:t>当前我省危货道路运输安全监管仍存在</w:t>
      </w:r>
      <w:r w:rsidR="001F4CB9">
        <w:rPr>
          <w:rFonts w:ascii="Times New Roman" w:eastAsia="方正仿宋_GBK" w:hAnsi="Times New Roman" w:cs="Times New Roman" w:hint="eastAsia"/>
          <w:sz w:val="32"/>
          <w:szCs w:val="32"/>
        </w:rPr>
        <w:t>一些</w:t>
      </w:r>
      <w:r>
        <w:rPr>
          <w:rFonts w:ascii="Times New Roman" w:eastAsia="方正仿宋_GBK" w:hAnsi="Times New Roman" w:cs="Times New Roman" w:hint="eastAsia"/>
          <w:sz w:val="32"/>
          <w:szCs w:val="32"/>
        </w:rPr>
        <w:t>问题</w:t>
      </w:r>
      <w:r w:rsidR="001F4CB9">
        <w:rPr>
          <w:rFonts w:ascii="Times New Roman" w:eastAsia="方正仿宋_GBK" w:hAnsi="Times New Roman" w:cs="Times New Roman" w:hint="eastAsia"/>
          <w:sz w:val="32"/>
          <w:szCs w:val="32"/>
        </w:rPr>
        <w:t>不足，</w:t>
      </w:r>
      <w:r>
        <w:rPr>
          <w:rFonts w:ascii="Times New Roman" w:eastAsia="方正仿宋_GBK" w:hAnsi="Times New Roman" w:cs="Times New Roman" w:hint="eastAsia"/>
          <w:sz w:val="32"/>
          <w:szCs w:val="32"/>
        </w:rPr>
        <w:t>制定《办法》是从制度层面破解上述难题，筑牢行业安全防线的关键举措。</w:t>
      </w:r>
    </w:p>
    <w:p w14:paraId="02ABB5F6" w14:textId="2911EF8B" w:rsidR="002125D3" w:rsidRDefault="002320C2">
      <w:pPr>
        <w:pStyle w:val="2"/>
      </w:pPr>
      <w:bookmarkStart w:id="3" w:name="heading_3"/>
      <w:r>
        <w:t>（三）推动行业安全治理转型的必然</w:t>
      </w:r>
      <w:r w:rsidR="00C451CD">
        <w:rPr>
          <w:rFonts w:hint="eastAsia"/>
        </w:rPr>
        <w:t>要求</w:t>
      </w:r>
      <w:bookmarkEnd w:id="3"/>
    </w:p>
    <w:p w14:paraId="0EFD1192"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近年来，我省扎实推进危货道路运输跨区域全链条安全监管交通强国试点并获交通运输部通报表扬，探索形成了安全码赋码管理、“五必查”源头管控、电子运单全流程应用、主动安全智能防控等一系列实践经验。</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11</w:t>
      </w:r>
      <w:r>
        <w:rPr>
          <w:rFonts w:ascii="Times New Roman" w:eastAsia="方正仿宋_GBK" w:hAnsi="Times New Roman" w:cs="Times New Roman" w:hint="eastAsia"/>
          <w:sz w:val="32"/>
          <w:szCs w:val="32"/>
        </w:rPr>
        <w:t>月，省交通运输厅联合省公安厅、应急厅、市场监管局、省安委办印发《关于进一步强化全省危险货物道路运输安全治理的若干措施》，推出数智监管、源头管控、外省车辆精准监管等</w:t>
      </w:r>
      <w:r>
        <w:rPr>
          <w:rFonts w:ascii="Times New Roman" w:eastAsia="方正仿宋_GBK" w:hAnsi="Times New Roman" w:cs="Times New Roman" w:hint="eastAsia"/>
          <w:sz w:val="32"/>
          <w:szCs w:val="32"/>
        </w:rPr>
        <w:t>12</w:t>
      </w:r>
      <w:r>
        <w:rPr>
          <w:rFonts w:ascii="Times New Roman" w:eastAsia="方正仿宋_GBK" w:hAnsi="Times New Roman" w:cs="Times New Roman" w:hint="eastAsia"/>
          <w:sz w:val="32"/>
          <w:szCs w:val="32"/>
        </w:rPr>
        <w:t>条硬措施，为立法奠定了坚实实践基础。制定《办法》是将我省实践成果固化为制度规范，推动行业安全治理从“事后处置”向“事前预防”、从“传统监管”向“数智化监管”、从“分散监管”向“协同共治”转型的必然要求。</w:t>
      </w:r>
    </w:p>
    <w:p w14:paraId="27CC3184" w14:textId="3E453061"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《办法》以地方规章形式将数智监管、安全码赋码、源头查验等行之有效的监管措施法治化、规范化，填补我省危货道路运</w:t>
      </w:r>
      <w:r>
        <w:rPr>
          <w:rFonts w:ascii="Times New Roman" w:eastAsia="方正仿宋_GBK" w:hAnsi="Times New Roman" w:cs="Times New Roman" w:hint="eastAsia"/>
          <w:sz w:val="32"/>
          <w:szCs w:val="32"/>
        </w:rPr>
        <w:lastRenderedPageBreak/>
        <w:t>输专门立法的空白，为全链条监管提供明确法律依据，推动行业监管走上制度化、规范化、法治化轨道。</w:t>
      </w:r>
    </w:p>
    <w:p w14:paraId="64CC3591" w14:textId="77777777" w:rsidR="002125D3" w:rsidRDefault="002320C2">
      <w:pPr>
        <w:pStyle w:val="1"/>
      </w:pPr>
      <w:bookmarkStart w:id="4" w:name="heading_5"/>
      <w:r>
        <w:rPr>
          <w:rFonts w:hint="eastAsia"/>
        </w:rPr>
        <w:t>二、起草过程</w:t>
      </w:r>
      <w:bookmarkEnd w:id="4"/>
    </w:p>
    <w:p w14:paraId="359044F2"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省交通运输厅于</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10</w:t>
      </w:r>
      <w:r>
        <w:rPr>
          <w:rFonts w:ascii="Times New Roman" w:eastAsia="方正仿宋_GBK" w:hAnsi="Times New Roman" w:cs="Times New Roman" w:hint="eastAsia"/>
          <w:sz w:val="32"/>
          <w:szCs w:val="32"/>
        </w:rPr>
        <w:t>月启动《办法》立法工作，严格遵循立法程序，历经调研学习、草案起草、意见征求、修改完善等阶段，确保立法工作科学有序、务实管用：</w:t>
      </w:r>
    </w:p>
    <w:p w14:paraId="7EEC2DD9"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调研学习阶段：先后赴浙江上虞调研学习数智监管和源头管控先进经验，赴苏州、连云港等省内危货运输大市及重点化工园区、运输企业开展专题调研，全面梳理我省行业监管现状、突出问题及实践成果，为草案起草奠定实践基础。</w:t>
      </w:r>
    </w:p>
    <w:p w14:paraId="16EDF667"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草案起草阶段：结合国家法律法规、外省成熟经验和我省实践，起草《办法》草案初稿，多次组织运输、法规、执法等部门开展内部研讨，结合上位法要求和监管实际不断完善内容，形成征求意见稿。</w:t>
      </w:r>
    </w:p>
    <w:p w14:paraId="196AC16C" w14:textId="77777777" w:rsidR="002125D3" w:rsidRDefault="002320C2">
      <w:pPr>
        <w:pStyle w:val="1"/>
      </w:pPr>
      <w:bookmarkStart w:id="5" w:name="heading_6"/>
      <w:r>
        <w:rPr>
          <w:rFonts w:hint="eastAsia"/>
        </w:rPr>
        <w:t>三、需要说明的有关问题</w:t>
      </w:r>
      <w:bookmarkEnd w:id="5"/>
    </w:p>
    <w:p w14:paraId="26E96076" w14:textId="77777777" w:rsidR="002125D3" w:rsidRDefault="002320C2">
      <w:pPr>
        <w:pStyle w:val="2"/>
        <w:autoSpaceDE/>
        <w:autoSpaceDN/>
      </w:pPr>
      <w:bookmarkStart w:id="6" w:name="heading_7"/>
      <w:r>
        <w:t>（一）关于部门职责分工</w:t>
      </w:r>
      <w:bookmarkEnd w:id="6"/>
    </w:p>
    <w:p w14:paraId="55D31F9A"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《办法》按照“</w:t>
      </w:r>
      <w:r>
        <w:rPr>
          <w:rFonts w:ascii="Times New Roman" w:eastAsia="方正仿宋_GBK" w:hAnsi="Times New Roman" w:cs="Times New Roman" w:hint="eastAsia"/>
          <w:b/>
          <w:bCs/>
          <w:sz w:val="32"/>
          <w:szCs w:val="32"/>
        </w:rPr>
        <w:t>政府统筹、部门主责、协同共治</w:t>
      </w:r>
      <w:r>
        <w:rPr>
          <w:rFonts w:ascii="Times New Roman" w:eastAsia="方正仿宋_GBK" w:hAnsi="Times New Roman" w:cs="Times New Roman" w:hint="eastAsia"/>
          <w:sz w:val="32"/>
          <w:szCs w:val="32"/>
        </w:rPr>
        <w:t>”原则，明确了各级政府及相关部门的监管职责：一是明确县级以上地方人民政府加强对危货运输安全管理工作的领导，完善基础设施、将相关经费列入财政预算，统筹推进监管工作；二是划定交通运输主管部门为行业主责部门，负责组织领导本行政区域内危货道路运输安全管理工作；三是明晰工业和信息化、公安、生态环境、</w:t>
      </w:r>
      <w:r>
        <w:rPr>
          <w:rFonts w:ascii="Times New Roman" w:eastAsia="方正仿宋_GBK" w:hAnsi="Times New Roman" w:cs="Times New Roman" w:hint="eastAsia"/>
          <w:sz w:val="32"/>
          <w:szCs w:val="32"/>
        </w:rPr>
        <w:lastRenderedPageBreak/>
        <w:t>应急管理、市场监督管理等部门及消防救援、化工园区管理等机构的协同监管职责，在罐体管理、装货查验、联合执法等环节落实具体责任；四是建立信息共享、联合监管执法、违法线索移交机制，推动形成上下联动、左右协同的监管合力。</w:t>
      </w:r>
    </w:p>
    <w:p w14:paraId="6D4EF48E" w14:textId="77777777" w:rsidR="002125D3" w:rsidRDefault="002320C2">
      <w:pPr>
        <w:pStyle w:val="2"/>
        <w:autoSpaceDE/>
        <w:autoSpaceDN/>
      </w:pPr>
      <w:bookmarkStart w:id="7" w:name="heading_8"/>
      <w:r>
        <w:t>（二）关于企业主体责任落实</w:t>
      </w:r>
      <w:bookmarkEnd w:id="7"/>
    </w:p>
    <w:p w14:paraId="1A7CB049"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《办法》从</w:t>
      </w:r>
      <w:r>
        <w:rPr>
          <w:rFonts w:ascii="Times New Roman" w:eastAsia="方正仿宋_GBK" w:hAnsi="Times New Roman" w:cs="Times New Roman" w:hint="eastAsia"/>
          <w:b/>
          <w:bCs/>
          <w:sz w:val="32"/>
          <w:szCs w:val="32"/>
        </w:rPr>
        <w:t>人员、车辆、场地、罐体</w:t>
      </w:r>
      <w:r>
        <w:rPr>
          <w:rFonts w:ascii="Times New Roman" w:eastAsia="方正仿宋_GBK" w:hAnsi="Times New Roman" w:cs="Times New Roman" w:hint="eastAsia"/>
          <w:sz w:val="32"/>
          <w:szCs w:val="32"/>
        </w:rPr>
        <w:t>等多维度细化企业主体责任要求，确保责任落地见效：一是规范人员管理，要求企业及时办理从业人员登记解聘手续，每年组织驾驶员职业健康检查，每日开展行前安全告知，对红码驾驶员实施脱岗警示培训；二是严格车辆管理，禁止挂靠经营，明确使用年限五年以上车辆二级维护周期，要求选购配备智能监控和自动紧急制动系统的车辆；三是完善场地管理，要求企业停车场实行封闭式管理、配套安全设施，地方政府统筹建设公共停车场，化工园区等项目同步建设专用停车场地；四是强化罐体管理，规范罐体选购、检验、使用、清洗全流程要求，严禁非法改装、超介质承运。</w:t>
      </w:r>
    </w:p>
    <w:p w14:paraId="1C331BC4" w14:textId="77777777" w:rsidR="002125D3" w:rsidRDefault="002320C2">
      <w:pPr>
        <w:pStyle w:val="2"/>
        <w:autoSpaceDE/>
        <w:autoSpaceDN/>
      </w:pPr>
      <w:bookmarkStart w:id="8" w:name="heading_9"/>
      <w:r>
        <w:t>（三）关于运输全过程管控</w:t>
      </w:r>
      <w:bookmarkEnd w:id="8"/>
    </w:p>
    <w:p w14:paraId="5899B904"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《办法》聚焦危货运输</w:t>
      </w:r>
      <w:r>
        <w:rPr>
          <w:rFonts w:ascii="Times New Roman" w:eastAsia="方正仿宋_GBK" w:hAnsi="Times New Roman" w:cs="Times New Roman" w:hint="eastAsia"/>
          <w:b/>
          <w:bCs/>
          <w:sz w:val="32"/>
          <w:szCs w:val="32"/>
        </w:rPr>
        <w:t>源头、途中、末端</w:t>
      </w:r>
      <w:r>
        <w:rPr>
          <w:rFonts w:ascii="Times New Roman" w:eastAsia="方正仿宋_GBK" w:hAnsi="Times New Roman" w:cs="Times New Roman" w:hint="eastAsia"/>
          <w:sz w:val="32"/>
          <w:szCs w:val="32"/>
        </w:rPr>
        <w:t>全链条，制定刚性管控措施：一是强化源头管控，明确化工园区、港区验码把关责任，装货人需落实查验、登记、信息留存义务，禁止通过网络货运平台托运危货；二是规范途中管控，明确电子运单与安全码实时联动要求，划定高速及高危危货车辆通行禁行时段，要求企业制定运输线路风险管控措施；三是严格外省车辆管控，明确异地</w:t>
      </w:r>
      <w:r>
        <w:rPr>
          <w:rFonts w:ascii="Times New Roman" w:eastAsia="方正仿宋_GBK" w:hAnsi="Times New Roman" w:cs="Times New Roman" w:hint="eastAsia"/>
          <w:sz w:val="32"/>
          <w:szCs w:val="32"/>
        </w:rPr>
        <w:lastRenderedPageBreak/>
        <w:t>经营三个月以上外省企业的备案、智能监控接入要求，实现省内外同标监管；四是规范大件危货运输，要求企业和牵引车具备双重资质并办理许可。</w:t>
      </w:r>
    </w:p>
    <w:p w14:paraId="1856F76C" w14:textId="77777777" w:rsidR="002125D3" w:rsidRDefault="002320C2">
      <w:pPr>
        <w:pStyle w:val="2"/>
        <w:autoSpaceDE/>
        <w:autoSpaceDN/>
      </w:pPr>
      <w:bookmarkStart w:id="9" w:name="heading_10"/>
      <w:r>
        <w:t>（四）关于应急管理体系建设</w:t>
      </w:r>
      <w:bookmarkEnd w:id="9"/>
    </w:p>
    <w:p w14:paraId="0FB671FD" w14:textId="77777777" w:rsidR="002125D3" w:rsidRDefault="002320C2">
      <w:pPr>
        <w:autoSpaceDE w:val="0"/>
        <w:autoSpaceDN w:val="0"/>
        <w:adjustRightInd w:val="0"/>
        <w:spacing w:line="56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为提升危货运输事故应急处置能力，《办法》构建</w:t>
      </w:r>
      <w:r>
        <w:rPr>
          <w:rFonts w:ascii="Times New Roman" w:eastAsia="方正仿宋_GBK" w:hAnsi="Times New Roman" w:cs="Times New Roman" w:hint="eastAsia"/>
          <w:b/>
          <w:bCs/>
          <w:sz w:val="32"/>
          <w:szCs w:val="32"/>
        </w:rPr>
        <w:t>多层级、专业化</w:t>
      </w:r>
      <w:r>
        <w:rPr>
          <w:rFonts w:ascii="Times New Roman" w:eastAsia="方正仿宋_GBK" w:hAnsi="Times New Roman" w:cs="Times New Roman" w:hint="eastAsia"/>
          <w:sz w:val="32"/>
          <w:szCs w:val="32"/>
        </w:rPr>
        <w:t>的应急管理体系：一是要求县级以上地方人民政府制定事故应急预案，建立应急救援体系，定期组织应急救援演练；二是明确设区市人民政府的专项责任，要求依托监管部门和相关企业专业力量，建立危险货物道路运输综合性应急救援专家库和应急救援队伍，适配危货运输事故专业性、复杂性的处置需求；三是压实企业应急责任，要求企业配套应急设备，规范卸货作业安全操作规程，形成政府主导、企业落实、专业支撑的应急处置格局。</w:t>
      </w:r>
    </w:p>
    <w:p w14:paraId="31637C7E" w14:textId="5AD8A24B" w:rsidR="002125D3" w:rsidRDefault="002125D3" w:rsidP="004D1E31">
      <w:pPr>
        <w:autoSpaceDE w:val="0"/>
        <w:autoSpaceDN w:val="0"/>
        <w:adjustRightInd w:val="0"/>
        <w:spacing w:line="560" w:lineRule="exact"/>
        <w:ind w:firstLineChars="200" w:firstLine="420"/>
        <w:jc w:val="left"/>
      </w:pPr>
    </w:p>
    <w:sectPr w:rsidR="002125D3">
      <w:footerReference w:type="default" r:id="rId8"/>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25CD1" w14:textId="77777777" w:rsidR="000853BA" w:rsidRDefault="000853BA">
      <w:r>
        <w:separator/>
      </w:r>
    </w:p>
  </w:endnote>
  <w:endnote w:type="continuationSeparator" w:id="0">
    <w:p w14:paraId="37F0F80C" w14:textId="77777777" w:rsidR="000853BA" w:rsidRDefault="0008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573170"/>
    </w:sdtPr>
    <w:sdtEndPr>
      <w:rPr>
        <w:rFonts w:ascii="Times New Roman" w:hAnsi="Times New Roman" w:cs="Times New Roman"/>
        <w:sz w:val="28"/>
        <w:szCs w:val="28"/>
      </w:rPr>
    </w:sdtEndPr>
    <w:sdtContent>
      <w:p w14:paraId="6730BB53" w14:textId="77777777" w:rsidR="002125D3" w:rsidRDefault="002320C2">
        <w:pPr>
          <w:pStyle w:val="a3"/>
          <w:numPr>
            <w:ilvl w:val="0"/>
            <w:numId w:val="1"/>
          </w:numP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3E3D36" w:rsidRPr="003E3D36">
          <w:rPr>
            <w:rFonts w:ascii="Times New Roman" w:hAnsi="Times New Roman" w:cs="Times New Roman"/>
            <w:noProof/>
            <w:sz w:val="28"/>
            <w:szCs w:val="28"/>
            <w:lang w:val="zh-CN"/>
          </w:rPr>
          <w:t>5</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p w14:paraId="2EDF5A1D" w14:textId="77777777" w:rsidR="002125D3" w:rsidRDefault="002125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593AD" w14:textId="77777777" w:rsidR="000853BA" w:rsidRDefault="000853BA">
      <w:r>
        <w:separator/>
      </w:r>
    </w:p>
  </w:footnote>
  <w:footnote w:type="continuationSeparator" w:id="0">
    <w:p w14:paraId="333DA277" w14:textId="77777777" w:rsidR="000853BA" w:rsidRDefault="000853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23C12"/>
    <w:multiLevelType w:val="multilevel"/>
    <w:tmpl w:val="21723C1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841E0"/>
    <w:rsid w:val="000853BA"/>
    <w:rsid w:val="000F28A2"/>
    <w:rsid w:val="001C0764"/>
    <w:rsid w:val="001F4CB9"/>
    <w:rsid w:val="002125D3"/>
    <w:rsid w:val="002320C2"/>
    <w:rsid w:val="002475E2"/>
    <w:rsid w:val="002C1610"/>
    <w:rsid w:val="003E3D36"/>
    <w:rsid w:val="004D1E31"/>
    <w:rsid w:val="00743B60"/>
    <w:rsid w:val="00A13612"/>
    <w:rsid w:val="00C451CD"/>
    <w:rsid w:val="13C7475D"/>
    <w:rsid w:val="14702707"/>
    <w:rsid w:val="17B50509"/>
    <w:rsid w:val="3D690993"/>
    <w:rsid w:val="438B44E6"/>
    <w:rsid w:val="4F5841E0"/>
    <w:rsid w:val="53624D36"/>
    <w:rsid w:val="681F1B75"/>
    <w:rsid w:val="6F330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autoSpaceDE w:val="0"/>
      <w:autoSpaceDN w:val="0"/>
      <w:adjustRightInd w:val="0"/>
      <w:spacing w:line="560" w:lineRule="exact"/>
      <w:ind w:firstLineChars="200" w:firstLine="640"/>
      <w:jc w:val="left"/>
      <w:outlineLvl w:val="0"/>
    </w:pPr>
    <w:rPr>
      <w:rFonts w:ascii="Times New Roman" w:eastAsia="方正黑体_GBK" w:hAnsi="Times New Roman" w:cs="Times New Roman"/>
      <w:sz w:val="32"/>
      <w:szCs w:val="32"/>
    </w:rPr>
  </w:style>
  <w:style w:type="paragraph" w:styleId="2">
    <w:name w:val="heading 2"/>
    <w:basedOn w:val="a"/>
    <w:next w:val="a"/>
    <w:unhideWhenUsed/>
    <w:qFormat/>
    <w:pPr>
      <w:autoSpaceDE w:val="0"/>
      <w:autoSpaceDN w:val="0"/>
      <w:adjustRightInd w:val="0"/>
      <w:spacing w:line="560" w:lineRule="exact"/>
      <w:ind w:firstLineChars="200" w:firstLine="640"/>
      <w:jc w:val="left"/>
      <w:outlineLvl w:val="1"/>
    </w:pPr>
    <w:rPr>
      <w:rFonts w:ascii="Times New Roman" w:eastAsia="方正楷体_GBK"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Balloon Text"/>
    <w:basedOn w:val="a"/>
    <w:link w:val="Char"/>
    <w:rsid w:val="002C1610"/>
    <w:rPr>
      <w:sz w:val="18"/>
      <w:szCs w:val="18"/>
    </w:rPr>
  </w:style>
  <w:style w:type="character" w:customStyle="1" w:styleId="Char">
    <w:name w:val="批注框文本 Char"/>
    <w:basedOn w:val="a0"/>
    <w:link w:val="a4"/>
    <w:rsid w:val="002C161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autoSpaceDE w:val="0"/>
      <w:autoSpaceDN w:val="0"/>
      <w:adjustRightInd w:val="0"/>
      <w:spacing w:line="560" w:lineRule="exact"/>
      <w:ind w:firstLineChars="200" w:firstLine="640"/>
      <w:jc w:val="left"/>
      <w:outlineLvl w:val="0"/>
    </w:pPr>
    <w:rPr>
      <w:rFonts w:ascii="Times New Roman" w:eastAsia="方正黑体_GBK" w:hAnsi="Times New Roman" w:cs="Times New Roman"/>
      <w:sz w:val="32"/>
      <w:szCs w:val="32"/>
    </w:rPr>
  </w:style>
  <w:style w:type="paragraph" w:styleId="2">
    <w:name w:val="heading 2"/>
    <w:basedOn w:val="a"/>
    <w:next w:val="a"/>
    <w:unhideWhenUsed/>
    <w:qFormat/>
    <w:pPr>
      <w:autoSpaceDE w:val="0"/>
      <w:autoSpaceDN w:val="0"/>
      <w:adjustRightInd w:val="0"/>
      <w:spacing w:line="560" w:lineRule="exact"/>
      <w:ind w:firstLineChars="200" w:firstLine="640"/>
      <w:jc w:val="left"/>
      <w:outlineLvl w:val="1"/>
    </w:pPr>
    <w:rPr>
      <w:rFonts w:ascii="Times New Roman" w:eastAsia="方正楷体_GBK"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Balloon Text"/>
    <w:basedOn w:val="a"/>
    <w:link w:val="Char"/>
    <w:rsid w:val="002C1610"/>
    <w:rPr>
      <w:sz w:val="18"/>
      <w:szCs w:val="18"/>
    </w:rPr>
  </w:style>
  <w:style w:type="character" w:customStyle="1" w:styleId="Char">
    <w:name w:val="批注框文本 Char"/>
    <w:basedOn w:val="a0"/>
    <w:link w:val="a4"/>
    <w:rsid w:val="002C161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5</Pages>
  <Words>370</Words>
  <Characters>2115</Characters>
  <Application>Microsoft Office Word</Application>
  <DocSecurity>0</DocSecurity>
  <Lines>17</Lines>
  <Paragraphs>4</Paragraphs>
  <ScaleCrop>false</ScaleCrop>
  <Company>Microsoft</Company>
  <LinksUpToDate>false</LinksUpToDate>
  <CharactersWithSpaces>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王者世袭</dc:creator>
  <cp:lastModifiedBy>郭香利</cp:lastModifiedBy>
  <cp:revision>8</cp:revision>
  <dcterms:created xsi:type="dcterms:W3CDTF">2026-03-03T09:07:00Z</dcterms:created>
  <dcterms:modified xsi:type="dcterms:W3CDTF">2026-04-20T10:23:00Z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C1DAB087E9BB4688A5CFCD0EC06A6301_11</vt:lpwstr>
  </property>
  <property fmtid="{D5CDD505-2E9C-101B-9397-08002B2CF9AE}" pid="4" name="KSOTemplateDocerSaveRecord">
    <vt:lpwstr>eyJoZGlkIjoiMjBmMDM2YmQ3NGE0NDUzYTc5Yzc2MDcxMmIxZmQ1MjgiLCJ1c2VySWQiOiI4MTAyMzgzNjQifQ==</vt:lpwstr>
  </property>
</Properties>
</file>