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keepLines/>
        <w:widowControl w:val="0"/>
        <w:suppressLineNumbers w:val="0"/>
        <w:autoSpaceDE/>
        <w:autoSpaceDN w:val="0"/>
        <w:snapToGrid/>
        <w:spacing w:before="0" w:beforeAutospacing="0" w:after="0" w:afterAutospacing="0" w:line="590" w:lineRule="exact"/>
        <w:ind w:left="0" w:right="0" w:firstLine="0"/>
        <w:jc w:val="center"/>
        <w:outlineLvl w:val="0"/>
        <w:rPr>
          <w:rFonts w:hint="eastAsia" w:ascii="方正小标宋_GBK" w:hAnsi="方正小标宋_GBK" w:eastAsia="方正小标宋_GBK" w:cs="方正小标宋_GBK"/>
          <w:bCs/>
          <w:spacing w:val="20"/>
          <w:kern w:val="44"/>
          <w:sz w:val="44"/>
          <w:szCs w:val="44"/>
          <w:lang w:val="en-US"/>
        </w:rPr>
      </w:pPr>
      <w:r>
        <w:rPr>
          <w:rFonts w:hint="eastAsia" w:ascii="方正小标宋_GBK" w:hAnsi="方正小标宋_GBK" w:eastAsia="方正小标宋_GBK" w:cs="方正小标宋_GBK"/>
          <w:bCs/>
          <w:snapToGrid/>
          <w:spacing w:val="20"/>
          <w:kern w:val="44"/>
          <w:sz w:val="44"/>
          <w:szCs w:val="44"/>
          <w:lang w:val="en-US" w:eastAsia="zh-CN" w:bidi="ar"/>
        </w:rPr>
        <w:t>江苏省高速公路收费标准定价机制</w:t>
      </w:r>
    </w:p>
    <w:p>
      <w:pPr>
        <w:keepNext w:val="0"/>
        <w:keepLines w:val="0"/>
        <w:widowControl w:val="0"/>
        <w:suppressLineNumbers w:val="0"/>
        <w:autoSpaceDE/>
        <w:autoSpaceDN w:val="0"/>
        <w:snapToGrid/>
        <w:spacing w:before="0" w:beforeAutospacing="0" w:after="0" w:afterAutospacing="0" w:line="590" w:lineRule="exact"/>
        <w:ind w:left="0" w:right="0" w:firstLine="420" w:firstLineChars="200"/>
        <w:jc w:val="left"/>
        <w:rPr>
          <w:rFonts w:eastAsia="仿宋_GB2312"/>
          <w:snapToGrid/>
          <w:kern w:val="2"/>
          <w:szCs w:val="32"/>
          <w:lang w:val="en-US"/>
        </w:rPr>
      </w:pP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left"/>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为积极落实</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交通强国</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战略，率先打造全国交通运输现代化示范区，</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十四五</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期间，我省规划推动一批高速公路特大跨江大桥、隧道、改扩建工程建设。全省高速公路收费政策和标准已执行多年，当前高速公路跨江大桥、隧道和改扩建项目投资快速增长，跨江大桥没有定价规则、隧道及改扩建项目没有明确的收费定价政策和标准。为适应新的发展形势，促进我省高速公路事业持续健康发展，更好地顺应人民群众对交通便捷性的更高需求，省交通运输厅、省发展改革委、省财政厅统筹兼顾高速公路技术等级、投资总额、交通流量、运维成本以及物价指数等因素，同时充分考虑公众出行成本和降低物流成本的要求，研究制定了高速公路跨江大桥、隧道、改扩建项目车辆通行费收费标准定价机制（以下简称</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定价机制</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w:t>
      </w:r>
    </w:p>
    <w:p>
      <w:pPr>
        <w:keepNext/>
        <w:keepLines/>
        <w:widowControl w:val="0"/>
        <w:suppressLineNumbers w:val="0"/>
        <w:autoSpaceDE/>
        <w:autoSpaceDN w:val="0"/>
        <w:snapToGrid/>
        <w:spacing w:before="0" w:beforeAutospacing="0" w:after="0" w:afterAutospacing="0" w:line="590" w:lineRule="exact"/>
        <w:ind w:left="0" w:right="0" w:firstLine="640" w:firstLineChars="200"/>
        <w:jc w:val="left"/>
        <w:outlineLvl w:val="1"/>
        <w:rPr>
          <w:rFonts w:eastAsia="黑体"/>
          <w:bCs/>
          <w:snapToGrid/>
          <w:kern w:val="2"/>
          <w:szCs w:val="32"/>
          <w:lang w:val="en-US"/>
        </w:rPr>
      </w:pPr>
      <w:r>
        <w:rPr>
          <w:rFonts w:hint="eastAsia" w:ascii="Times New Roman" w:hAnsi="Arial" w:eastAsia="黑体" w:cs="黑体"/>
          <w:bCs/>
          <w:snapToGrid/>
          <w:kern w:val="2"/>
          <w:sz w:val="32"/>
          <w:szCs w:val="32"/>
          <w:lang w:val="en-US" w:eastAsia="zh-CN" w:bidi="ar"/>
        </w:rPr>
        <w:t>一、建立定价机制的意义</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科学合理的高速公路收费标准定价机制，是优化高速公路投资环境，促进高速公路高质量发展的重要保障，也有利于社会公众进一步了解和支持高速公路收费政策，对建设人民满意交通，服务支撑交通强国战略实施具有重要的现实与长远意义。</w:t>
      </w:r>
    </w:p>
    <w:p>
      <w:pPr>
        <w:keepNext w:val="0"/>
        <w:keepLines w:val="0"/>
        <w:widowControl w:val="0"/>
        <w:suppressLineNumbers w:val="0"/>
        <w:autoSpaceDE/>
        <w:autoSpaceDN w:val="0"/>
        <w:snapToGrid/>
        <w:spacing w:before="0" w:beforeAutospacing="0" w:after="0" w:afterAutospacing="0" w:line="590" w:lineRule="exact"/>
        <w:ind w:left="0" w:right="0" w:firstLine="643" w:firstLineChars="200"/>
        <w:jc w:val="both"/>
        <w:rPr>
          <w:snapToGrid/>
          <w:kern w:val="2"/>
          <w:szCs w:val="32"/>
          <w:lang w:val="en-US"/>
        </w:rPr>
      </w:pPr>
      <w:r>
        <w:rPr>
          <w:rFonts w:hint="eastAsia" w:ascii="Times New Roman" w:hAnsi="楷体" w:eastAsia="楷体" w:cs="楷体"/>
          <w:b/>
          <w:bCs/>
          <w:snapToGrid/>
          <w:kern w:val="2"/>
          <w:sz w:val="32"/>
          <w:szCs w:val="32"/>
          <w:lang w:val="en-US" w:eastAsia="zh-CN" w:bidi="ar"/>
        </w:rPr>
        <w:t>一是完善我省高速公路收费政策的需要。</w:t>
      </w:r>
      <w:r>
        <w:rPr>
          <w:rFonts w:hint="eastAsia" w:ascii="Times New Roman" w:hAnsi="方正仿宋_GBK" w:eastAsia="方正仿宋_GBK" w:cs="方正仿宋_GBK"/>
          <w:b/>
          <w:bCs w:val="0"/>
          <w:snapToGrid/>
          <w:kern w:val="2"/>
          <w:sz w:val="32"/>
          <w:szCs w:val="32"/>
          <w:lang w:val="en-US" w:eastAsia="zh-CN" w:bidi="ar"/>
        </w:rPr>
        <w:t>首先，</w:t>
      </w:r>
      <w:r>
        <w:rPr>
          <w:rFonts w:hint="eastAsia" w:ascii="Times New Roman" w:hAnsi="方正仿宋_GBK" w:eastAsia="方正仿宋_GBK" w:cs="方正仿宋_GBK"/>
          <w:snapToGrid/>
          <w:kern w:val="2"/>
          <w:sz w:val="32"/>
          <w:szCs w:val="32"/>
          <w:lang w:val="en-US" w:eastAsia="zh-CN" w:bidi="ar"/>
        </w:rPr>
        <w:t>我省高速公路跨江大桥收费目前实行一桥一核价，随着过江通道布局加密，需要制定明确的定价规则。</w:t>
      </w:r>
      <w:r>
        <w:rPr>
          <w:rFonts w:hint="eastAsia" w:ascii="Times New Roman" w:hAnsi="方正仿宋_GBK" w:eastAsia="方正仿宋_GBK" w:cs="方正仿宋_GBK"/>
          <w:b/>
          <w:bCs w:val="0"/>
          <w:snapToGrid/>
          <w:kern w:val="2"/>
          <w:sz w:val="32"/>
          <w:szCs w:val="32"/>
          <w:lang w:val="en-US" w:eastAsia="zh-CN" w:bidi="ar"/>
        </w:rPr>
        <w:t>其次，</w:t>
      </w:r>
      <w:r>
        <w:rPr>
          <w:rFonts w:hint="eastAsia" w:ascii="Times New Roman" w:hAnsi="方正仿宋_GBK" w:eastAsia="方正仿宋_GBK" w:cs="方正仿宋_GBK"/>
          <w:snapToGrid/>
          <w:kern w:val="2"/>
          <w:sz w:val="32"/>
          <w:szCs w:val="32"/>
          <w:lang w:val="en-US" w:eastAsia="zh-CN" w:bidi="ar"/>
        </w:rPr>
        <w:t>由于我省地处平原地区，路网隧道相对较少且里程较短，目前隧道未单独收费而是按里程计入高速公路路段收费。在基本农田保护和环境保护要素制约下，路网中隧道建设需求越来越大，未来规划还有多条江底湖底特长隧道通车运营，需要明确隧道项目收费政策和标准。</w:t>
      </w:r>
      <w:r>
        <w:rPr>
          <w:rFonts w:hint="eastAsia" w:ascii="Times New Roman" w:hAnsi="方正仿宋_GBK" w:eastAsia="方正仿宋_GBK" w:cs="方正仿宋_GBK"/>
          <w:b/>
          <w:bCs w:val="0"/>
          <w:snapToGrid/>
          <w:kern w:val="2"/>
          <w:sz w:val="32"/>
          <w:szCs w:val="32"/>
          <w:lang w:val="en-US" w:eastAsia="zh-CN" w:bidi="ar"/>
        </w:rPr>
        <w:t>第三，</w:t>
      </w:r>
      <w:r>
        <w:rPr>
          <w:rFonts w:hint="eastAsia" w:ascii="Times New Roman" w:hAnsi="方正仿宋_GBK" w:eastAsia="方正仿宋_GBK" w:cs="方正仿宋_GBK"/>
          <w:snapToGrid/>
          <w:kern w:val="2"/>
          <w:sz w:val="32"/>
          <w:szCs w:val="32"/>
          <w:lang w:val="en-US" w:eastAsia="zh-CN" w:bidi="ar"/>
        </w:rPr>
        <w:t>随着路网主要运输通道的交通流量增加，多条主干线高速公路项目陆续面临改扩建，也需要明确改扩建项目的定价政策。</w:t>
      </w:r>
    </w:p>
    <w:p>
      <w:pPr>
        <w:keepNext w:val="0"/>
        <w:keepLines w:val="0"/>
        <w:widowControl w:val="0"/>
        <w:suppressLineNumbers w:val="0"/>
        <w:autoSpaceDE/>
        <w:autoSpaceDN w:val="0"/>
        <w:snapToGrid/>
        <w:spacing w:before="0" w:beforeAutospacing="0" w:after="0" w:afterAutospacing="0" w:line="590" w:lineRule="exact"/>
        <w:ind w:left="0" w:right="0" w:firstLine="643" w:firstLineChars="200"/>
        <w:jc w:val="both"/>
        <w:rPr>
          <w:snapToGrid/>
          <w:kern w:val="2"/>
          <w:szCs w:val="32"/>
          <w:lang w:val="en-US"/>
        </w:rPr>
      </w:pPr>
      <w:r>
        <w:rPr>
          <w:rFonts w:hint="eastAsia" w:ascii="Times New Roman" w:hAnsi="楷体" w:eastAsia="楷体" w:cs="楷体"/>
          <w:b/>
          <w:bCs/>
          <w:snapToGrid/>
          <w:kern w:val="2"/>
          <w:sz w:val="32"/>
          <w:szCs w:val="32"/>
          <w:lang w:val="en-US" w:eastAsia="zh-CN" w:bidi="ar"/>
        </w:rPr>
        <w:t>二是保障高速公路持续健康发展的需要。</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十四五</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期间，我省交通发展以满足人民日益增长的美好生活需要为目的，积极落实</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交通强国</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战略，进一步加大投资力度，五年力争完成交通基础设施建设投资超过</w:t>
      </w:r>
      <w:r>
        <w:rPr>
          <w:rFonts w:hint="default" w:ascii="Times New Roman" w:hAnsi="Times New Roman" w:eastAsia="方正仿宋_GBK" w:cs="Times New Roman"/>
          <w:snapToGrid/>
          <w:kern w:val="2"/>
          <w:sz w:val="32"/>
          <w:szCs w:val="32"/>
          <w:lang w:val="en-US" w:eastAsia="zh-CN" w:bidi="ar"/>
        </w:rPr>
        <w:t>1.14</w:t>
      </w:r>
      <w:r>
        <w:rPr>
          <w:rFonts w:hint="eastAsia" w:ascii="Times New Roman" w:hAnsi="方正仿宋_GBK" w:eastAsia="方正仿宋_GBK" w:cs="方正仿宋_GBK"/>
          <w:snapToGrid/>
          <w:kern w:val="2"/>
          <w:sz w:val="32"/>
          <w:szCs w:val="32"/>
          <w:lang w:val="en-US" w:eastAsia="zh-CN" w:bidi="ar"/>
        </w:rPr>
        <w:t>万亿元，其中，高速公路及过江通道建设投资</w:t>
      </w:r>
      <w:r>
        <w:rPr>
          <w:rFonts w:hint="default" w:ascii="Times New Roman" w:hAnsi="Times New Roman" w:eastAsia="方正仿宋_GBK" w:cs="Times New Roman"/>
          <w:snapToGrid/>
          <w:kern w:val="2"/>
          <w:sz w:val="32"/>
          <w:szCs w:val="32"/>
          <w:lang w:val="en-US" w:eastAsia="zh-CN" w:bidi="ar"/>
        </w:rPr>
        <w:t>3917</w:t>
      </w:r>
      <w:r>
        <w:rPr>
          <w:rFonts w:hint="eastAsia" w:ascii="Times New Roman" w:hAnsi="方正仿宋_GBK" w:eastAsia="方正仿宋_GBK" w:cs="方正仿宋_GBK"/>
          <w:snapToGrid/>
          <w:kern w:val="2"/>
          <w:sz w:val="32"/>
          <w:szCs w:val="32"/>
          <w:lang w:val="en-US" w:eastAsia="zh-CN" w:bidi="ar"/>
        </w:rPr>
        <w:t>亿元，是</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十三五</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时期的</w:t>
      </w:r>
      <w:r>
        <w:rPr>
          <w:rFonts w:hint="default" w:ascii="Times New Roman" w:hAnsi="Times New Roman" w:eastAsia="方正仿宋_GBK" w:cs="Times New Roman"/>
          <w:snapToGrid/>
          <w:kern w:val="2"/>
          <w:sz w:val="32"/>
          <w:szCs w:val="32"/>
          <w:lang w:val="en-US" w:eastAsia="zh-CN" w:bidi="ar"/>
        </w:rPr>
        <w:t>4.6</w:t>
      </w:r>
      <w:r>
        <w:rPr>
          <w:rFonts w:hint="eastAsia" w:ascii="Times New Roman" w:hAnsi="方正仿宋_GBK" w:eastAsia="方正仿宋_GBK" w:cs="方正仿宋_GBK"/>
          <w:snapToGrid/>
          <w:kern w:val="2"/>
          <w:sz w:val="32"/>
          <w:szCs w:val="32"/>
          <w:lang w:val="en-US" w:eastAsia="zh-CN" w:bidi="ar"/>
        </w:rPr>
        <w:t>倍。我省高速公路建设投融资压力巨大。高速公路收费政策作为支撑和促进我省高速公路事业持续健康发展的重要政策，在</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十四五</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期间仍然要继续发挥其在全省综合交通运输体系建设投融资中的重要作用。由于跨江大桥、湖底江底隧道技术等级高、概算投资大、后期运维费用高，加上征地拆迁成本、人工成本、建筑材料持续上涨，近年来高速公路的建设成本和运维成本均持续上涨。我省现行高速公路收费政策和标准，已经执行多年，难以适应新时期的高速公路建设可持续发展要求，需要建立新的收费定价机制。</w:t>
      </w:r>
    </w:p>
    <w:p>
      <w:pPr>
        <w:keepNext w:val="0"/>
        <w:keepLines w:val="0"/>
        <w:widowControl w:val="0"/>
        <w:suppressLineNumbers w:val="0"/>
        <w:shd w:val="solid" w:color="FFFFFF" w:fill="auto"/>
        <w:autoSpaceDE/>
        <w:autoSpaceDN w:val="0"/>
        <w:snapToGrid/>
        <w:spacing w:before="0" w:beforeAutospacing="0" w:after="0" w:afterAutospacing="0" w:line="590" w:lineRule="exact"/>
        <w:ind w:left="0" w:right="0" w:firstLine="0"/>
        <w:jc w:val="both"/>
        <w:rPr>
          <w:snapToGrid/>
          <w:kern w:val="2"/>
          <w:szCs w:val="32"/>
          <w:shd w:val="solid" w:color="FFFFFF" w:fill="auto"/>
          <w:lang w:val="en-US"/>
        </w:rPr>
      </w:pPr>
      <w:r>
        <w:rPr>
          <w:rFonts w:hint="default" w:ascii="Times New Roman" w:hAnsi="Times New Roman" w:eastAsia="方正楷体简体" w:cs="Times New Roman"/>
          <w:snapToGrid/>
          <w:kern w:val="2"/>
          <w:sz w:val="32"/>
          <w:szCs w:val="32"/>
          <w:shd w:val="solid" w:color="FFFFFF" w:fill="auto"/>
          <w:lang w:val="en-US" w:eastAsia="zh-CN" w:bidi="ar"/>
        </w:rPr>
        <w:t xml:space="preserve">   </w:t>
      </w:r>
      <w:r>
        <w:rPr>
          <w:rFonts w:hint="default" w:ascii="Times New Roman" w:hAnsi="Times New Roman" w:eastAsia="楷体" w:cs="Times New Roman"/>
          <w:snapToGrid/>
          <w:kern w:val="2"/>
          <w:sz w:val="32"/>
          <w:szCs w:val="32"/>
          <w:shd w:val="solid" w:color="FFFFFF" w:fill="auto"/>
          <w:lang w:val="en-US" w:eastAsia="zh-CN" w:bidi="ar"/>
        </w:rPr>
        <w:t xml:space="preserve"> </w:t>
      </w:r>
      <w:r>
        <w:rPr>
          <w:rFonts w:hint="eastAsia" w:ascii="Times New Roman" w:hAnsi="楷体" w:eastAsia="楷体" w:cs="楷体"/>
          <w:b/>
          <w:bCs/>
          <w:snapToGrid/>
          <w:kern w:val="2"/>
          <w:sz w:val="32"/>
          <w:szCs w:val="32"/>
          <w:shd w:val="solid" w:color="FFFFFF" w:fill="auto"/>
          <w:lang w:val="en-US" w:eastAsia="zh-CN" w:bidi="ar"/>
        </w:rPr>
        <w:t>三是进一步提升高速公路收费管理水平的需要。</w:t>
      </w:r>
      <w:r>
        <w:rPr>
          <w:rFonts w:hint="eastAsia" w:ascii="Times New Roman" w:hAnsi="方正仿宋_GBK" w:eastAsia="方正仿宋_GBK" w:cs="方正仿宋_GBK"/>
          <w:snapToGrid/>
          <w:kern w:val="2"/>
          <w:sz w:val="32"/>
          <w:szCs w:val="32"/>
          <w:shd w:val="solid" w:color="FFFFFF" w:fill="auto"/>
          <w:lang w:val="en-US" w:eastAsia="zh-CN" w:bidi="ar"/>
        </w:rPr>
        <w:t>《中共中央</w:t>
      </w:r>
      <w:r>
        <w:rPr>
          <w:rFonts w:hint="default" w:ascii="Times New Roman" w:hAnsi="Times New Roman" w:eastAsia="方正仿宋_GBK" w:cs="Times New Roman"/>
          <w:snapToGrid/>
          <w:kern w:val="2"/>
          <w:sz w:val="32"/>
          <w:szCs w:val="32"/>
          <w:shd w:val="solid" w:color="FFFFFF" w:fill="auto"/>
          <w:lang w:val="en-US" w:eastAsia="zh-CN" w:bidi="ar"/>
        </w:rPr>
        <w:t xml:space="preserve"> </w:t>
      </w:r>
      <w:r>
        <w:rPr>
          <w:rFonts w:hint="eastAsia" w:ascii="Times New Roman" w:hAnsi="方正仿宋_GBK" w:eastAsia="方正仿宋_GBK" w:cs="方正仿宋_GBK"/>
          <w:snapToGrid/>
          <w:kern w:val="2"/>
          <w:sz w:val="32"/>
          <w:szCs w:val="32"/>
          <w:shd w:val="solid" w:color="FFFFFF" w:fill="auto"/>
          <w:lang w:val="en-US" w:eastAsia="zh-CN" w:bidi="ar"/>
        </w:rPr>
        <w:t>国务院关于推进价格机制改革的若干意见》（</w:t>
      </w:r>
      <w:r>
        <w:rPr>
          <w:rFonts w:hint="default" w:ascii="Times New Roman" w:hAnsi="Times New Roman" w:eastAsia="方正仿宋_GBK" w:cs="Times New Roman"/>
          <w:snapToGrid/>
          <w:kern w:val="2"/>
          <w:sz w:val="32"/>
          <w:szCs w:val="32"/>
          <w:shd w:val="solid" w:color="FFFFFF" w:fill="auto"/>
          <w:lang w:val="en-US" w:eastAsia="zh-CN" w:bidi="ar"/>
        </w:rPr>
        <w:fldChar w:fldCharType="begin"/>
      </w:r>
      <w:r>
        <w:rPr>
          <w:rFonts w:hint="default" w:ascii="Times New Roman" w:hAnsi="Times New Roman" w:eastAsia="方正仿宋_GBK" w:cs="Times New Roman"/>
          <w:snapToGrid/>
          <w:kern w:val="2"/>
          <w:sz w:val="32"/>
          <w:szCs w:val="32"/>
          <w:shd w:val="solid" w:color="FFFFFF" w:fill="auto"/>
          <w:lang w:val="en-US" w:eastAsia="zh-CN" w:bidi="ar"/>
        </w:rPr>
        <w:instrText xml:space="preserve"> HYPERLINK "https://www.waizi.org.cn/law/6841.html" </w:instrText>
      </w:r>
      <w:r>
        <w:rPr>
          <w:rFonts w:hint="default" w:ascii="Times New Roman" w:hAnsi="Times New Roman" w:eastAsia="方正仿宋_GBK" w:cs="Times New Roman"/>
          <w:snapToGrid/>
          <w:kern w:val="2"/>
          <w:sz w:val="32"/>
          <w:szCs w:val="32"/>
          <w:shd w:val="solid" w:color="FFFFFF" w:fill="auto"/>
          <w:lang w:val="en-US" w:eastAsia="zh-CN" w:bidi="ar"/>
        </w:rPr>
        <w:fldChar w:fldCharType="separate"/>
      </w:r>
      <w:r>
        <w:rPr>
          <w:rStyle w:val="4"/>
          <w:rFonts w:hint="eastAsia" w:ascii="Times New Roman" w:hAnsi="方正仿宋_GBK" w:eastAsia="方正仿宋_GBK" w:cs="方正仿宋_GBK"/>
          <w:color w:val="auto"/>
          <w:kern w:val="2"/>
          <w:szCs w:val="32"/>
          <w:u w:val="none"/>
          <w:shd w:val="solid" w:color="FFFFFF" w:fill="auto"/>
          <w:lang w:val="en-US"/>
        </w:rPr>
        <w:t>中发〔</w:t>
      </w:r>
      <w:r>
        <w:rPr>
          <w:rStyle w:val="4"/>
          <w:color w:val="auto"/>
          <w:kern w:val="2"/>
          <w:szCs w:val="32"/>
          <w:u w:val="none"/>
          <w:shd w:val="solid" w:color="FFFFFF" w:fill="auto"/>
          <w:lang w:val="en-US"/>
        </w:rPr>
        <w:t>2015</w:t>
      </w:r>
      <w:r>
        <w:rPr>
          <w:rStyle w:val="4"/>
          <w:rFonts w:hint="eastAsia" w:ascii="Times New Roman" w:hAnsi="方正仿宋_GBK" w:eastAsia="方正仿宋_GBK" w:cs="方正仿宋_GBK"/>
          <w:color w:val="auto"/>
          <w:kern w:val="2"/>
          <w:szCs w:val="32"/>
          <w:u w:val="none"/>
          <w:shd w:val="solid" w:color="FFFFFF" w:fill="auto"/>
          <w:lang w:val="en-US"/>
        </w:rPr>
        <w:t>〕</w:t>
      </w:r>
      <w:r>
        <w:rPr>
          <w:rStyle w:val="4"/>
          <w:color w:val="auto"/>
          <w:kern w:val="2"/>
          <w:szCs w:val="32"/>
          <w:u w:val="none"/>
          <w:shd w:val="solid" w:color="FFFFFF" w:fill="auto"/>
          <w:lang w:val="en-US"/>
        </w:rPr>
        <w:t>28</w:t>
      </w:r>
      <w:r>
        <w:rPr>
          <w:rStyle w:val="4"/>
          <w:rFonts w:hint="eastAsia" w:ascii="Times New Roman" w:hAnsi="方正仿宋_GBK" w:eastAsia="方正仿宋_GBK" w:cs="方正仿宋_GBK"/>
          <w:color w:val="auto"/>
          <w:kern w:val="2"/>
          <w:szCs w:val="32"/>
          <w:u w:val="none"/>
          <w:shd w:val="solid" w:color="FFFFFF" w:fill="auto"/>
          <w:lang w:val="en-US"/>
        </w:rPr>
        <w:t>号</w:t>
      </w:r>
      <w:r>
        <w:rPr>
          <w:rFonts w:hint="default" w:ascii="Times New Roman" w:hAnsi="Times New Roman" w:eastAsia="方正仿宋_GBK" w:cs="Times New Roman"/>
          <w:snapToGrid/>
          <w:kern w:val="2"/>
          <w:sz w:val="32"/>
          <w:szCs w:val="32"/>
          <w:shd w:val="solid" w:color="FFFFFF" w:fill="auto"/>
          <w:lang w:val="en-US" w:eastAsia="zh-CN" w:bidi="ar"/>
        </w:rPr>
        <w:fldChar w:fldCharType="end"/>
      </w:r>
      <w:r>
        <w:rPr>
          <w:rFonts w:hint="eastAsia" w:ascii="Times New Roman" w:hAnsi="方正仿宋_GBK" w:eastAsia="方正仿宋_GBK" w:cs="方正仿宋_GBK"/>
          <w:snapToGrid/>
          <w:kern w:val="2"/>
          <w:sz w:val="32"/>
          <w:szCs w:val="32"/>
          <w:shd w:val="solid" w:color="FFFFFF" w:fill="auto"/>
          <w:lang w:val="en-US" w:eastAsia="zh-CN" w:bidi="ar"/>
        </w:rPr>
        <w:t>）提出，</w:t>
      </w:r>
      <w:r>
        <w:rPr>
          <w:rFonts w:hint="default" w:ascii="Times New Roman" w:hAnsi="Times New Roman" w:eastAsia="方正仿宋_GBK" w:cs="Times New Roman"/>
          <w:snapToGrid/>
          <w:kern w:val="2"/>
          <w:sz w:val="32"/>
          <w:szCs w:val="32"/>
          <w:shd w:val="solid" w:color="FFFFFF" w:fill="auto"/>
          <w:lang w:val="en-US" w:eastAsia="zh-CN" w:bidi="ar"/>
        </w:rPr>
        <w:t>“</w:t>
      </w:r>
      <w:r>
        <w:rPr>
          <w:rFonts w:hint="eastAsia" w:ascii="Times New Roman" w:hAnsi="方正仿宋_GBK" w:eastAsia="方正仿宋_GBK" w:cs="方正仿宋_GBK"/>
          <w:snapToGrid/>
          <w:kern w:val="2"/>
          <w:sz w:val="32"/>
          <w:szCs w:val="32"/>
          <w:shd w:val="solid" w:color="FFFFFF" w:fill="auto"/>
          <w:lang w:val="en-US" w:eastAsia="zh-CN" w:bidi="ar"/>
        </w:rPr>
        <w:t>对纳入政府定价目录的项目，要制定具体的管理办法、定价机制，进一步规范定价程序</w:t>
      </w:r>
      <w:r>
        <w:rPr>
          <w:rFonts w:hint="default" w:ascii="Times New Roman" w:hAnsi="Times New Roman" w:eastAsia="方正仿宋_GBK" w:cs="Times New Roman"/>
          <w:snapToGrid/>
          <w:kern w:val="2"/>
          <w:sz w:val="32"/>
          <w:szCs w:val="32"/>
          <w:shd w:val="solid" w:color="FFFFFF" w:fill="auto"/>
          <w:lang w:val="en-US" w:eastAsia="zh-CN" w:bidi="ar"/>
        </w:rPr>
        <w:t>”</w:t>
      </w:r>
      <w:r>
        <w:rPr>
          <w:rFonts w:hint="eastAsia" w:ascii="Times New Roman" w:hAnsi="方正仿宋_GBK" w:eastAsia="方正仿宋_GBK" w:cs="方正仿宋_GBK"/>
          <w:snapToGrid/>
          <w:kern w:val="2"/>
          <w:sz w:val="32"/>
          <w:szCs w:val="32"/>
          <w:shd w:val="solid" w:color="FFFFFF" w:fill="auto"/>
          <w:lang w:val="en-US" w:eastAsia="zh-CN" w:bidi="ar"/>
        </w:rPr>
        <w:t>。国家发展改革委《政府制定价格行为规则》明确，</w:t>
      </w:r>
      <w:r>
        <w:rPr>
          <w:rFonts w:hint="default" w:ascii="Times New Roman" w:hAnsi="Times New Roman" w:eastAsia="方正仿宋_GBK" w:cs="Times New Roman"/>
          <w:snapToGrid/>
          <w:kern w:val="2"/>
          <w:sz w:val="32"/>
          <w:szCs w:val="32"/>
          <w:shd w:val="solid" w:color="FFFFFF" w:fill="auto"/>
          <w:lang w:val="en-US" w:eastAsia="zh-CN" w:bidi="ar"/>
        </w:rPr>
        <w:t>“</w:t>
      </w:r>
      <w:r>
        <w:rPr>
          <w:rFonts w:hint="eastAsia" w:ascii="Times New Roman" w:hAnsi="方正仿宋_GBK" w:eastAsia="方正仿宋_GBK" w:cs="方正仿宋_GBK"/>
          <w:snapToGrid/>
          <w:kern w:val="2"/>
          <w:sz w:val="32"/>
          <w:szCs w:val="32"/>
          <w:shd w:val="solid" w:color="FFFFFF" w:fill="auto"/>
          <w:lang w:val="en-US" w:eastAsia="zh-CN" w:bidi="ar"/>
        </w:rPr>
        <w:t>国务院价格主管部门及有关部门，省、自治区、直辖市人民政府价格主管部门及有关部门应当根据不同行业特点，逐步建立商品和服务的定价机制，实现商品和服务价格调整机制化</w:t>
      </w:r>
      <w:r>
        <w:rPr>
          <w:rFonts w:hint="default" w:ascii="Times New Roman" w:hAnsi="Times New Roman" w:eastAsia="方正仿宋_GBK" w:cs="Times New Roman"/>
          <w:snapToGrid/>
          <w:kern w:val="2"/>
          <w:sz w:val="32"/>
          <w:szCs w:val="32"/>
          <w:shd w:val="solid" w:color="FFFFFF" w:fill="auto"/>
          <w:lang w:val="en-US" w:eastAsia="zh-CN" w:bidi="ar"/>
        </w:rPr>
        <w:t>”</w:t>
      </w:r>
      <w:r>
        <w:rPr>
          <w:rFonts w:hint="eastAsia" w:ascii="Times New Roman" w:hAnsi="方正仿宋_GBK" w:eastAsia="方正仿宋_GBK" w:cs="方正仿宋_GBK"/>
          <w:snapToGrid/>
          <w:kern w:val="2"/>
          <w:sz w:val="32"/>
          <w:szCs w:val="32"/>
          <w:shd w:val="solid" w:color="FFFFFF" w:fill="auto"/>
          <w:lang w:val="en-US" w:eastAsia="zh-CN" w:bidi="ar"/>
        </w:rPr>
        <w:t>。贯彻落实国家上述政策要求，建立完善高速公路车辆通行费定价机制，有利于规范高速公路车辆通行费定价行为，也有利于提高制定调整车辆通行费收费标准的科学性、可预见性和透明度，不断提升我省高速公路收费管理水平。</w:t>
      </w:r>
    </w:p>
    <w:p>
      <w:pPr>
        <w:keepNext/>
        <w:keepLines/>
        <w:widowControl w:val="0"/>
        <w:suppressLineNumbers w:val="0"/>
        <w:autoSpaceDE/>
        <w:autoSpaceDN w:val="0"/>
        <w:snapToGrid/>
        <w:spacing w:before="0" w:beforeAutospacing="0" w:after="0" w:afterAutospacing="0" w:line="590" w:lineRule="exact"/>
        <w:ind w:left="0" w:right="0" w:firstLine="640" w:firstLineChars="200"/>
        <w:jc w:val="left"/>
        <w:outlineLvl w:val="1"/>
        <w:rPr>
          <w:rFonts w:eastAsia="黑体"/>
          <w:bCs/>
          <w:snapToGrid/>
          <w:kern w:val="2"/>
          <w:szCs w:val="32"/>
          <w:lang w:val="en-US"/>
        </w:rPr>
      </w:pPr>
      <w:r>
        <w:rPr>
          <w:rFonts w:hint="eastAsia" w:ascii="Times New Roman" w:hAnsi="Arial" w:eastAsia="黑体" w:cs="黑体"/>
          <w:bCs/>
          <w:snapToGrid/>
          <w:kern w:val="2"/>
          <w:sz w:val="32"/>
          <w:szCs w:val="32"/>
          <w:lang w:val="en-US" w:eastAsia="zh-CN" w:bidi="ar"/>
        </w:rPr>
        <w:t>二、建立定价机制的依据和原则</w:t>
      </w:r>
    </w:p>
    <w:p>
      <w:pPr>
        <w:keepNext w:val="0"/>
        <w:keepLines w:val="0"/>
        <w:widowControl w:val="0"/>
        <w:suppressLineNumbers w:val="0"/>
        <w:autoSpaceDE/>
        <w:autoSpaceDN w:val="0"/>
        <w:snapToGrid/>
        <w:spacing w:before="0" w:beforeAutospacing="0" w:after="0" w:afterAutospacing="0" w:line="590" w:lineRule="exact"/>
        <w:ind w:left="0" w:right="0" w:firstLine="643" w:firstLineChars="200"/>
        <w:jc w:val="both"/>
        <w:rPr>
          <w:rFonts w:hAnsi="楷体" w:eastAsia="楷体"/>
          <w:b/>
          <w:bCs/>
          <w:snapToGrid/>
          <w:kern w:val="2"/>
          <w:szCs w:val="32"/>
          <w:lang w:val="en-US"/>
        </w:rPr>
      </w:pPr>
      <w:r>
        <w:rPr>
          <w:rFonts w:hint="eastAsia" w:ascii="Times New Roman" w:hAnsi="楷体" w:eastAsia="楷体" w:cs="楷体"/>
          <w:b/>
          <w:bCs/>
          <w:snapToGrid/>
          <w:kern w:val="2"/>
          <w:sz w:val="32"/>
          <w:szCs w:val="32"/>
          <w:lang w:val="en-US" w:eastAsia="zh-CN" w:bidi="ar"/>
        </w:rPr>
        <w:t>（一）制定依据</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1.</w:t>
      </w:r>
      <w:r>
        <w:rPr>
          <w:rFonts w:hint="eastAsia" w:ascii="Times New Roman" w:hAnsi="方正仿宋_GBK" w:eastAsia="方正仿宋_GBK" w:cs="方正仿宋_GBK"/>
          <w:snapToGrid/>
          <w:kern w:val="2"/>
          <w:sz w:val="32"/>
          <w:szCs w:val="32"/>
          <w:lang w:val="en-US" w:eastAsia="zh-CN" w:bidi="ar"/>
        </w:rPr>
        <w:t>《中共中央</w:t>
      </w:r>
      <w:r>
        <w:rPr>
          <w:rFonts w:hint="default" w:ascii="Times New Roman" w:hAnsi="Times New Roman" w:eastAsia="方正仿宋_GBK" w:cs="Times New Roman"/>
          <w:snapToGrid/>
          <w:kern w:val="2"/>
          <w:sz w:val="32"/>
          <w:szCs w:val="32"/>
          <w:lang w:val="en-US" w:eastAsia="zh-CN" w:bidi="ar"/>
        </w:rPr>
        <w:t xml:space="preserve"> </w:t>
      </w:r>
      <w:r>
        <w:rPr>
          <w:rFonts w:hint="eastAsia" w:ascii="Times New Roman" w:hAnsi="方正仿宋_GBK" w:eastAsia="方正仿宋_GBK" w:cs="方正仿宋_GBK"/>
          <w:snapToGrid/>
          <w:kern w:val="2"/>
          <w:sz w:val="32"/>
          <w:szCs w:val="32"/>
          <w:lang w:val="en-US" w:eastAsia="zh-CN" w:bidi="ar"/>
        </w:rPr>
        <w:t>国务院关于推进价格机制改革的若干意见》</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2.</w:t>
      </w:r>
      <w:r>
        <w:rPr>
          <w:rFonts w:hint="eastAsia" w:ascii="Times New Roman" w:hAnsi="方正仿宋_GBK" w:eastAsia="方正仿宋_GBK" w:cs="方正仿宋_GBK"/>
          <w:snapToGrid/>
          <w:kern w:val="2"/>
          <w:sz w:val="32"/>
          <w:szCs w:val="32"/>
          <w:lang w:val="en-US" w:eastAsia="zh-CN" w:bidi="ar"/>
        </w:rPr>
        <w:t>《中华人民共和国公路法》</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3.</w:t>
      </w:r>
      <w:r>
        <w:rPr>
          <w:rFonts w:hint="eastAsia" w:ascii="Times New Roman" w:hAnsi="方正仿宋_GBK" w:eastAsia="方正仿宋_GBK" w:cs="方正仿宋_GBK"/>
          <w:snapToGrid/>
          <w:kern w:val="2"/>
          <w:sz w:val="32"/>
          <w:szCs w:val="32"/>
          <w:lang w:val="en-US" w:eastAsia="zh-CN" w:bidi="ar"/>
        </w:rPr>
        <w:t>《收费公路管理条例》</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4.</w:t>
      </w:r>
      <w:r>
        <w:rPr>
          <w:rFonts w:hint="eastAsia" w:ascii="Times New Roman" w:hAnsi="方正仿宋_GBK" w:eastAsia="方正仿宋_GBK" w:cs="方正仿宋_GBK"/>
          <w:snapToGrid/>
          <w:kern w:val="2"/>
          <w:sz w:val="32"/>
          <w:szCs w:val="32"/>
          <w:lang w:val="en-US" w:eastAsia="zh-CN" w:bidi="ar"/>
        </w:rPr>
        <w:t>《江苏省收费公路管理条例》</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5.</w:t>
      </w:r>
      <w:r>
        <w:rPr>
          <w:rFonts w:hint="eastAsia" w:ascii="Times New Roman" w:hAnsi="方正仿宋_GBK" w:eastAsia="方正仿宋_GBK" w:cs="方正仿宋_GBK"/>
          <w:snapToGrid/>
          <w:kern w:val="2"/>
          <w:sz w:val="32"/>
          <w:szCs w:val="32"/>
          <w:lang w:val="en-US" w:eastAsia="zh-CN" w:bidi="ar"/>
        </w:rPr>
        <w:t>《江苏省高速公路条例》</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6.</w:t>
      </w:r>
      <w:r>
        <w:rPr>
          <w:rFonts w:hint="eastAsia" w:ascii="Times New Roman" w:hAnsi="方正仿宋_GBK" w:eastAsia="方正仿宋_GBK" w:cs="方正仿宋_GBK"/>
          <w:snapToGrid/>
          <w:kern w:val="2"/>
          <w:sz w:val="32"/>
          <w:szCs w:val="32"/>
          <w:lang w:val="en-US" w:eastAsia="zh-CN" w:bidi="ar"/>
        </w:rPr>
        <w:t>《政府制定价格行为规则》</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7.</w:t>
      </w:r>
      <w:r>
        <w:rPr>
          <w:rFonts w:hint="eastAsia" w:ascii="Times New Roman" w:hAnsi="方正仿宋_GBK" w:eastAsia="方正仿宋_GBK" w:cs="方正仿宋_GBK"/>
          <w:snapToGrid/>
          <w:kern w:val="2"/>
          <w:sz w:val="32"/>
          <w:szCs w:val="32"/>
          <w:lang w:val="en-US" w:eastAsia="zh-CN" w:bidi="ar"/>
        </w:rPr>
        <w:t>《政府制定价格听证办法》</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8.</w:t>
      </w:r>
      <w:r>
        <w:rPr>
          <w:rFonts w:hint="eastAsia" w:ascii="Times New Roman" w:hAnsi="方正仿宋_GBK" w:eastAsia="方正仿宋_GBK" w:cs="方正仿宋_GBK"/>
          <w:snapToGrid/>
          <w:kern w:val="2"/>
          <w:sz w:val="32"/>
          <w:szCs w:val="32"/>
          <w:lang w:val="en-US" w:eastAsia="zh-CN" w:bidi="ar"/>
        </w:rPr>
        <w:t>其他相关政策规定</w:t>
      </w:r>
    </w:p>
    <w:p>
      <w:pPr>
        <w:keepNext w:val="0"/>
        <w:keepLines w:val="0"/>
        <w:widowControl w:val="0"/>
        <w:suppressLineNumbers w:val="0"/>
        <w:autoSpaceDE/>
        <w:autoSpaceDN w:val="0"/>
        <w:snapToGrid/>
        <w:spacing w:before="0" w:beforeAutospacing="0" w:after="0" w:afterAutospacing="0" w:line="590" w:lineRule="exact"/>
        <w:ind w:left="0" w:right="0" w:firstLine="643" w:firstLineChars="200"/>
        <w:jc w:val="both"/>
        <w:rPr>
          <w:rFonts w:hAnsi="楷体" w:eastAsia="楷体"/>
          <w:b/>
          <w:bCs/>
          <w:snapToGrid/>
          <w:kern w:val="2"/>
          <w:szCs w:val="32"/>
          <w:lang w:val="en-US"/>
        </w:rPr>
      </w:pPr>
      <w:r>
        <w:rPr>
          <w:rFonts w:hint="eastAsia" w:ascii="Times New Roman" w:hAnsi="楷体" w:eastAsia="楷体" w:cs="楷体"/>
          <w:b/>
          <w:bCs/>
          <w:snapToGrid/>
          <w:kern w:val="2"/>
          <w:sz w:val="32"/>
          <w:szCs w:val="32"/>
          <w:lang w:val="en-US" w:eastAsia="zh-CN" w:bidi="ar"/>
        </w:rPr>
        <w:t>（二）基本原则</w:t>
      </w:r>
    </w:p>
    <w:p>
      <w:pPr>
        <w:keepNext w:val="0"/>
        <w:keepLines w:val="0"/>
        <w:widowControl w:val="0"/>
        <w:suppressLineNumbers w:val="0"/>
        <w:autoSpaceDE/>
        <w:autoSpaceDN w:val="0"/>
        <w:snapToGrid/>
        <w:spacing w:before="0" w:beforeAutospacing="0" w:after="0" w:afterAutospacing="0" w:line="590" w:lineRule="exact"/>
        <w:ind w:left="0" w:right="0" w:firstLine="643" w:firstLineChars="200"/>
        <w:jc w:val="both"/>
        <w:rPr>
          <w:snapToGrid/>
          <w:kern w:val="2"/>
          <w:szCs w:val="32"/>
          <w:lang w:val="en-US"/>
        </w:rPr>
      </w:pPr>
      <w:r>
        <w:rPr>
          <w:rFonts w:hint="default" w:ascii="Times New Roman" w:hAnsi="Times New Roman" w:eastAsia="方正仿宋_GBK" w:cs="Times New Roman"/>
          <w:b/>
          <w:bCs w:val="0"/>
          <w:snapToGrid/>
          <w:kern w:val="2"/>
          <w:sz w:val="32"/>
          <w:szCs w:val="32"/>
          <w:lang w:val="en-US" w:eastAsia="zh-CN" w:bidi="ar"/>
        </w:rPr>
        <w:t>——</w:t>
      </w:r>
      <w:r>
        <w:rPr>
          <w:rFonts w:hint="eastAsia" w:ascii="Times New Roman" w:hAnsi="方正仿宋_GBK" w:eastAsia="方正仿宋_GBK" w:cs="方正仿宋_GBK"/>
          <w:b/>
          <w:bCs w:val="0"/>
          <w:snapToGrid/>
          <w:kern w:val="2"/>
          <w:sz w:val="32"/>
          <w:szCs w:val="32"/>
          <w:lang w:val="en-US" w:eastAsia="zh-CN" w:bidi="ar"/>
        </w:rPr>
        <w:t>与现行政策衔接。</w:t>
      </w:r>
      <w:r>
        <w:rPr>
          <w:rFonts w:hint="eastAsia" w:ascii="Times New Roman" w:hAnsi="方正仿宋_GBK" w:eastAsia="方正仿宋_GBK" w:cs="方正仿宋_GBK"/>
          <w:snapToGrid/>
          <w:kern w:val="2"/>
          <w:sz w:val="32"/>
          <w:szCs w:val="32"/>
          <w:lang w:val="en-US" w:eastAsia="zh-CN" w:bidi="ar"/>
        </w:rPr>
        <w:t>在保持全省高速公路收费政策总体稳定的前提下，适应新形势新情况新要求，对现行收费政策作进一步优化完善，确保全省高速公路路网收费政策的统一性、延续性。</w:t>
      </w:r>
    </w:p>
    <w:p>
      <w:pPr>
        <w:keepNext w:val="0"/>
        <w:keepLines w:val="0"/>
        <w:widowControl w:val="0"/>
        <w:suppressLineNumbers w:val="0"/>
        <w:autoSpaceDE/>
        <w:autoSpaceDN w:val="0"/>
        <w:snapToGrid/>
        <w:spacing w:before="0" w:beforeAutospacing="0" w:after="0" w:afterAutospacing="0" w:line="590" w:lineRule="exact"/>
        <w:ind w:left="0" w:right="0" w:firstLine="643" w:firstLineChars="200"/>
        <w:jc w:val="both"/>
        <w:rPr>
          <w:snapToGrid/>
          <w:kern w:val="2"/>
          <w:szCs w:val="32"/>
          <w:lang w:val="en-US"/>
        </w:rPr>
      </w:pPr>
      <w:r>
        <w:rPr>
          <w:rFonts w:hint="default" w:ascii="Times New Roman" w:hAnsi="Times New Roman" w:eastAsia="方正仿宋_GBK" w:cs="Times New Roman"/>
          <w:b/>
          <w:bCs w:val="0"/>
          <w:snapToGrid/>
          <w:kern w:val="2"/>
          <w:sz w:val="32"/>
          <w:szCs w:val="32"/>
          <w:lang w:val="en-US" w:eastAsia="zh-CN" w:bidi="ar"/>
        </w:rPr>
        <w:t>——</w:t>
      </w:r>
      <w:r>
        <w:rPr>
          <w:rFonts w:hint="eastAsia" w:ascii="Times New Roman" w:hAnsi="方正仿宋_GBK" w:eastAsia="方正仿宋_GBK" w:cs="方正仿宋_GBK"/>
          <w:b/>
          <w:bCs w:val="0"/>
          <w:snapToGrid/>
          <w:kern w:val="2"/>
          <w:sz w:val="32"/>
          <w:szCs w:val="32"/>
          <w:lang w:val="en-US" w:eastAsia="zh-CN" w:bidi="ar"/>
        </w:rPr>
        <w:t>公平负担统筹兼顾。</w:t>
      </w:r>
      <w:r>
        <w:rPr>
          <w:rFonts w:hint="eastAsia" w:ascii="Times New Roman" w:hAnsi="方正仿宋_GBK" w:eastAsia="方正仿宋_GBK" w:cs="方正仿宋_GBK"/>
          <w:snapToGrid/>
          <w:kern w:val="2"/>
          <w:sz w:val="32"/>
          <w:szCs w:val="32"/>
          <w:lang w:val="en-US" w:eastAsia="zh-CN" w:bidi="ar"/>
        </w:rPr>
        <w:t>坚持</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用路者付费</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多用路者多付费</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原则，努力实现收费标准与道路资源占用程度相匹配。统筹考虑道路使用者和道路经营者合法权益，统筹考虑我省高速公路事业可持续发展和社会效益最优化。</w:t>
      </w:r>
    </w:p>
    <w:p>
      <w:pPr>
        <w:keepNext w:val="0"/>
        <w:keepLines w:val="0"/>
        <w:widowControl w:val="0"/>
        <w:suppressLineNumbers w:val="0"/>
        <w:autoSpaceDE/>
        <w:autoSpaceDN w:val="0"/>
        <w:snapToGrid/>
        <w:spacing w:before="0" w:beforeAutospacing="0" w:after="0" w:afterAutospacing="0" w:line="590" w:lineRule="exact"/>
        <w:ind w:left="0" w:right="0" w:firstLine="643" w:firstLineChars="200"/>
        <w:jc w:val="both"/>
        <w:rPr>
          <w:snapToGrid/>
          <w:kern w:val="2"/>
          <w:szCs w:val="32"/>
          <w:lang w:val="en-US"/>
        </w:rPr>
      </w:pPr>
      <w:r>
        <w:rPr>
          <w:rFonts w:hint="default" w:ascii="Times New Roman" w:hAnsi="Times New Roman" w:eastAsia="方正仿宋_GBK" w:cs="Times New Roman"/>
          <w:b/>
          <w:bCs w:val="0"/>
          <w:snapToGrid/>
          <w:kern w:val="2"/>
          <w:sz w:val="32"/>
          <w:szCs w:val="32"/>
          <w:lang w:val="en-US" w:eastAsia="zh-CN" w:bidi="ar"/>
        </w:rPr>
        <w:t>——</w:t>
      </w:r>
      <w:r>
        <w:rPr>
          <w:rFonts w:hint="eastAsia" w:ascii="Times New Roman" w:hAnsi="方正仿宋_GBK" w:eastAsia="方正仿宋_GBK" w:cs="方正仿宋_GBK"/>
          <w:b/>
          <w:bCs w:val="0"/>
          <w:snapToGrid/>
          <w:kern w:val="2"/>
          <w:sz w:val="32"/>
          <w:szCs w:val="32"/>
          <w:lang w:val="en-US" w:eastAsia="zh-CN" w:bidi="ar"/>
        </w:rPr>
        <w:t>规则明确简洁易懂。</w:t>
      </w:r>
      <w:r>
        <w:rPr>
          <w:rFonts w:hint="eastAsia" w:ascii="Times New Roman" w:hAnsi="方正仿宋_GBK" w:eastAsia="方正仿宋_GBK" w:cs="方正仿宋_GBK"/>
          <w:snapToGrid/>
          <w:kern w:val="2"/>
          <w:sz w:val="32"/>
          <w:szCs w:val="32"/>
          <w:lang w:val="en-US" w:eastAsia="zh-CN" w:bidi="ar"/>
        </w:rPr>
        <w:t>按照高速公路项目的单位投资，分档确定车辆通行费收费标准，定价规则科学明晰，既便于政府决策降低政府行政成本，也便于社会和公众的理解和接受。</w:t>
      </w:r>
    </w:p>
    <w:p>
      <w:pPr>
        <w:keepNext/>
        <w:keepLines/>
        <w:widowControl w:val="0"/>
        <w:suppressLineNumbers w:val="0"/>
        <w:autoSpaceDE/>
        <w:autoSpaceDN w:val="0"/>
        <w:snapToGrid/>
        <w:spacing w:before="0" w:beforeAutospacing="0" w:after="0" w:afterAutospacing="0" w:line="590" w:lineRule="exact"/>
        <w:ind w:left="0" w:right="0" w:firstLine="640" w:firstLineChars="200"/>
        <w:jc w:val="left"/>
        <w:outlineLvl w:val="1"/>
        <w:rPr>
          <w:rFonts w:eastAsia="黑体"/>
          <w:bCs/>
          <w:snapToGrid/>
          <w:kern w:val="2"/>
          <w:szCs w:val="32"/>
          <w:lang w:val="en-US"/>
        </w:rPr>
      </w:pPr>
      <w:r>
        <w:rPr>
          <w:rFonts w:hint="eastAsia" w:ascii="Times New Roman" w:hAnsi="Arial" w:eastAsia="黑体" w:cs="黑体"/>
          <w:bCs/>
          <w:snapToGrid/>
          <w:kern w:val="2"/>
          <w:sz w:val="32"/>
          <w:szCs w:val="32"/>
          <w:lang w:val="en-US" w:eastAsia="zh-CN" w:bidi="ar"/>
        </w:rPr>
        <w:t>三、定价机制的内容</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高速公路收费定价机制坚持准许成本加合理收益原则，综合考虑当前服务实体经济、降低物流成本的政策要求，充分体现让利于民。我省高速公路收费标准定价机制主要包括高速公路跨江大桥、高速公路隧道和高速公路改扩建项目三类，具体内容如下：</w:t>
      </w:r>
    </w:p>
    <w:p>
      <w:pPr>
        <w:keepNext w:val="0"/>
        <w:keepLines w:val="0"/>
        <w:widowControl w:val="0"/>
        <w:suppressLineNumbers w:val="0"/>
        <w:autoSpaceDE/>
        <w:autoSpaceDN w:val="0"/>
        <w:snapToGrid/>
        <w:spacing w:before="0" w:beforeAutospacing="0" w:after="0" w:afterAutospacing="0" w:line="590" w:lineRule="exact"/>
        <w:ind w:left="0" w:right="0" w:firstLine="643" w:firstLineChars="200"/>
        <w:jc w:val="both"/>
        <w:rPr>
          <w:rFonts w:hAnsi="楷体" w:eastAsia="楷体"/>
          <w:b/>
          <w:bCs/>
          <w:snapToGrid/>
          <w:kern w:val="2"/>
          <w:szCs w:val="32"/>
          <w:lang w:val="en-US"/>
        </w:rPr>
      </w:pPr>
      <w:r>
        <w:rPr>
          <w:rFonts w:hint="eastAsia" w:ascii="Times New Roman" w:hAnsi="楷体" w:eastAsia="楷体" w:cs="楷体"/>
          <w:b/>
          <w:bCs/>
          <w:snapToGrid/>
          <w:kern w:val="2"/>
          <w:sz w:val="32"/>
          <w:szCs w:val="32"/>
          <w:lang w:val="en-US" w:eastAsia="zh-CN" w:bidi="ar"/>
        </w:rPr>
        <w:t>（一）高速公路跨江大桥收费标准定价机制</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我省目前收费跨江大桥，实行一桥一核价，车辆通行费按车次计收，收费标准归为三类（以一型客车为例），分别为：南京二桥、南京三桥、崇启大桥</w:t>
      </w:r>
      <w:r>
        <w:rPr>
          <w:rFonts w:hint="default" w:ascii="Times New Roman" w:hAnsi="Times New Roman" w:eastAsia="方正仿宋_GBK" w:cs="Times New Roman"/>
          <w:snapToGrid/>
          <w:kern w:val="2"/>
          <w:sz w:val="32"/>
          <w:szCs w:val="32"/>
          <w:lang w:val="en-US" w:eastAsia="zh-CN" w:bidi="ar"/>
        </w:rPr>
        <w:t>20</w:t>
      </w:r>
      <w:r>
        <w:rPr>
          <w:rFonts w:hint="eastAsia" w:ascii="Times New Roman" w:hAnsi="方正仿宋_GBK" w:eastAsia="方正仿宋_GBK" w:cs="方正仿宋_GBK"/>
          <w:snapToGrid/>
          <w:kern w:val="2"/>
          <w:sz w:val="32"/>
          <w:szCs w:val="32"/>
          <w:lang w:val="en-US" w:eastAsia="zh-CN" w:bidi="ar"/>
        </w:rPr>
        <w:t>元</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车次；江阴大桥、润扬大桥、泰州大桥、南京四桥</w:t>
      </w:r>
      <w:r>
        <w:rPr>
          <w:rFonts w:hint="default" w:ascii="Times New Roman" w:hAnsi="Times New Roman" w:eastAsia="方正仿宋_GBK" w:cs="Times New Roman"/>
          <w:snapToGrid/>
          <w:kern w:val="2"/>
          <w:sz w:val="32"/>
          <w:szCs w:val="32"/>
          <w:lang w:val="en-US" w:eastAsia="zh-CN" w:bidi="ar"/>
        </w:rPr>
        <w:t>25</w:t>
      </w:r>
      <w:r>
        <w:rPr>
          <w:rFonts w:hint="eastAsia" w:ascii="Times New Roman" w:hAnsi="方正仿宋_GBK" w:eastAsia="方正仿宋_GBK" w:cs="方正仿宋_GBK"/>
          <w:snapToGrid/>
          <w:kern w:val="2"/>
          <w:sz w:val="32"/>
          <w:szCs w:val="32"/>
          <w:lang w:val="en-US" w:eastAsia="zh-CN" w:bidi="ar"/>
        </w:rPr>
        <w:t>元</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车次；苏通大桥、沪苏通大桥</w:t>
      </w:r>
      <w:r>
        <w:rPr>
          <w:rFonts w:hint="default" w:ascii="Times New Roman" w:hAnsi="Times New Roman" w:eastAsia="方正仿宋_GBK" w:cs="Times New Roman"/>
          <w:snapToGrid/>
          <w:kern w:val="2"/>
          <w:sz w:val="32"/>
          <w:szCs w:val="32"/>
          <w:lang w:val="en-US" w:eastAsia="zh-CN" w:bidi="ar"/>
        </w:rPr>
        <w:t>30</w:t>
      </w:r>
      <w:r>
        <w:rPr>
          <w:rFonts w:hint="eastAsia" w:ascii="Times New Roman" w:hAnsi="方正仿宋_GBK" w:eastAsia="方正仿宋_GBK" w:cs="方正仿宋_GBK"/>
          <w:snapToGrid/>
          <w:kern w:val="2"/>
          <w:sz w:val="32"/>
          <w:szCs w:val="32"/>
          <w:lang w:val="en-US" w:eastAsia="zh-CN" w:bidi="ar"/>
        </w:rPr>
        <w:t>元</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车次。</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十四五</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期间，我省规划新建龙潭、常泰、张皋等多座跨江大桥。鉴于规划新建的跨江大桥技术等级高、概算投资大、后期运维费用高，单位投资持续增加，统筹考虑过江通道建设需求和降低实体经济企业成本等因素，及省内已建成通车跨江大桥的按车次收费模式，实行按单位投资分档确定收费标准的定价机制，具体如下表所示。</w:t>
      </w:r>
    </w:p>
    <w:p>
      <w:pPr>
        <w:keepNext w:val="0"/>
        <w:keepLines w:val="0"/>
        <w:widowControl w:val="0"/>
        <w:suppressLineNumbers w:val="0"/>
        <w:autoSpaceDE/>
        <w:autoSpaceDN w:val="0"/>
        <w:snapToGrid/>
        <w:spacing w:before="0" w:beforeAutospacing="0" w:after="0" w:afterAutospacing="0" w:line="590" w:lineRule="exact"/>
        <w:ind w:left="0" w:right="0" w:firstLine="480" w:firstLineChars="200"/>
        <w:jc w:val="both"/>
        <w:rPr>
          <w:rFonts w:eastAsia="黑体"/>
          <w:snapToGrid/>
          <w:kern w:val="2"/>
          <w:sz w:val="24"/>
          <w:szCs w:val="24"/>
          <w:lang w:val="en-US"/>
        </w:rPr>
      </w:pPr>
      <w:bookmarkStart w:id="1" w:name="_GoBack"/>
      <w:bookmarkEnd w:id="1"/>
    </w:p>
    <w:tbl>
      <w:tblPr>
        <w:tblStyle w:val="2"/>
        <w:tblW w:w="0" w:type="auto"/>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tblLayout w:type="fixed"/>
        <w:tblCellMar>
          <w:top w:w="0" w:type="dxa"/>
          <w:left w:w="108" w:type="dxa"/>
          <w:bottom w:w="0" w:type="dxa"/>
          <w:right w:w="108" w:type="dxa"/>
        </w:tblCellMar>
      </w:tblPr>
      <w:tblGrid>
        <w:gridCol w:w="1730"/>
        <w:gridCol w:w="2262"/>
        <w:gridCol w:w="2262"/>
        <w:gridCol w:w="2266"/>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tblCellMar>
            <w:top w:w="0" w:type="dxa"/>
            <w:left w:w="108" w:type="dxa"/>
            <w:bottom w:w="0" w:type="dxa"/>
            <w:right w:w="108" w:type="dxa"/>
          </w:tblCellMar>
        </w:tblPrEx>
        <w:trPr>
          <w:trHeight w:val="493" w:hRule="atLeast"/>
          <w:jc w:val="center"/>
        </w:trPr>
        <w:tc>
          <w:tcPr>
            <w:tcW w:w="1730" w:type="dxa"/>
            <w:tcBorders>
              <w:top w:val="single" w:color="000000" w:sz="12" w:space="0"/>
              <w:left w:val="single" w:color="000000" w:sz="12" w:space="0"/>
              <w:bottom w:val="single" w:color="000000" w:sz="4"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单位投资</w:t>
            </w:r>
          </w:p>
        </w:tc>
        <w:tc>
          <w:tcPr>
            <w:tcW w:w="2262" w:type="dxa"/>
            <w:tcBorders>
              <w:top w:val="single" w:color="000000" w:sz="12" w:space="0"/>
              <w:left w:val="single" w:color="000000" w:sz="4" w:space="0"/>
              <w:bottom w:val="single" w:color="000000" w:sz="4"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4亿元/公里以下</w:t>
            </w:r>
          </w:p>
        </w:tc>
        <w:tc>
          <w:tcPr>
            <w:tcW w:w="2262" w:type="dxa"/>
            <w:tcBorders>
              <w:top w:val="single" w:color="000000" w:sz="12" w:space="0"/>
              <w:left w:val="single" w:color="000000" w:sz="4" w:space="0"/>
              <w:bottom w:val="single" w:color="000000" w:sz="4"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4亿元/公里（含）—10 亿元/公里</w:t>
            </w:r>
          </w:p>
        </w:tc>
        <w:tc>
          <w:tcPr>
            <w:tcW w:w="2266" w:type="dxa"/>
            <w:tcBorders>
              <w:top w:val="single" w:color="000000" w:sz="12" w:space="0"/>
              <w:left w:val="single" w:color="000000" w:sz="4" w:space="0"/>
              <w:bottom w:val="single" w:color="000000" w:sz="4" w:space="0"/>
              <w:right w:val="single" w:color="000000" w:sz="12"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10亿元/公里及以上</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tblCellMar>
            <w:top w:w="0" w:type="dxa"/>
            <w:left w:w="108" w:type="dxa"/>
            <w:bottom w:w="0" w:type="dxa"/>
            <w:right w:w="108" w:type="dxa"/>
          </w:tblCellMar>
        </w:tblPrEx>
        <w:trPr>
          <w:trHeight w:val="270" w:hRule="atLeast"/>
          <w:jc w:val="center"/>
        </w:trPr>
        <w:tc>
          <w:tcPr>
            <w:tcW w:w="1730" w:type="dxa"/>
            <w:tcBorders>
              <w:top w:val="single" w:color="000000" w:sz="4" w:space="0"/>
              <w:left w:val="single" w:color="000000" w:sz="12" w:space="0"/>
              <w:bottom w:val="single" w:color="000000" w:sz="12"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一型客车收费标准</w:t>
            </w:r>
          </w:p>
        </w:tc>
        <w:tc>
          <w:tcPr>
            <w:tcW w:w="2262" w:type="dxa"/>
            <w:tcBorders>
              <w:top w:val="single" w:color="000000" w:sz="4" w:space="0"/>
              <w:left w:val="single" w:color="000000" w:sz="4" w:space="0"/>
              <w:bottom w:val="single" w:color="000000" w:sz="12"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不高于30元/车次</w:t>
            </w:r>
          </w:p>
        </w:tc>
        <w:tc>
          <w:tcPr>
            <w:tcW w:w="2262" w:type="dxa"/>
            <w:tcBorders>
              <w:top w:val="single" w:color="000000" w:sz="4" w:space="0"/>
              <w:left w:val="single" w:color="000000" w:sz="4" w:space="0"/>
              <w:bottom w:val="single" w:color="000000" w:sz="12"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35元/车次</w:t>
            </w:r>
          </w:p>
        </w:tc>
        <w:tc>
          <w:tcPr>
            <w:tcW w:w="2266" w:type="dxa"/>
            <w:tcBorders>
              <w:top w:val="single" w:color="000000" w:sz="4" w:space="0"/>
              <w:left w:val="single" w:color="000000" w:sz="4" w:space="0"/>
              <w:bottom w:val="single" w:color="000000" w:sz="12" w:space="0"/>
              <w:right w:val="single" w:color="000000" w:sz="12"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40元/车次</w:t>
            </w:r>
          </w:p>
        </w:tc>
      </w:tr>
    </w:tbl>
    <w:p>
      <w:pPr>
        <w:keepNext w:val="0"/>
        <w:keepLines w:val="0"/>
        <w:widowControl w:val="0"/>
        <w:suppressLineNumbers w:val="0"/>
        <w:autoSpaceDE/>
        <w:autoSpaceDN w:val="0"/>
        <w:snapToGrid/>
        <w:spacing w:before="0" w:beforeAutospacing="0" w:after="0" w:afterAutospacing="0" w:line="590" w:lineRule="exact"/>
        <w:ind w:left="0" w:right="0" w:firstLine="482" w:firstLineChars="200"/>
        <w:jc w:val="left"/>
        <w:rPr>
          <w:rFonts w:hint="eastAsia" w:ascii="楷体" w:hAnsi="楷体" w:eastAsia="楷体" w:cs="楷体"/>
          <w:b/>
          <w:bCs/>
          <w:kern w:val="2"/>
          <w:sz w:val="24"/>
          <w:szCs w:val="24"/>
          <w:lang w:val="en-US"/>
        </w:rPr>
      </w:pPr>
      <w:r>
        <w:rPr>
          <w:rFonts w:hint="eastAsia" w:ascii="楷体" w:hAnsi="楷体" w:eastAsia="楷体" w:cs="楷体"/>
          <w:b/>
          <w:bCs/>
          <w:snapToGrid/>
          <w:kern w:val="2"/>
          <w:sz w:val="24"/>
          <w:szCs w:val="24"/>
          <w:lang w:val="en-US" w:eastAsia="zh-CN" w:bidi="ar"/>
        </w:rPr>
        <w:t>注：其他车型按照现</w:t>
      </w:r>
      <w:r>
        <w:rPr>
          <w:rFonts w:hint="eastAsia" w:ascii="楷体" w:hAnsi="楷体" w:eastAsia="楷体" w:cs="宋体"/>
          <w:b/>
          <w:bCs/>
          <w:snapToGrid/>
          <w:kern w:val="2"/>
          <w:sz w:val="24"/>
          <w:szCs w:val="24"/>
          <w:lang w:val="en-US" w:eastAsia="zh-CN" w:bidi="ar"/>
        </w:rPr>
        <w:t>行</w:t>
      </w:r>
      <w:r>
        <w:rPr>
          <w:rFonts w:hint="eastAsia" w:ascii="楷体" w:hAnsi="楷体" w:eastAsia="楷体" w:cs="楷体"/>
          <w:b/>
          <w:bCs/>
          <w:snapToGrid/>
          <w:kern w:val="2"/>
          <w:sz w:val="24"/>
          <w:szCs w:val="24"/>
          <w:lang w:val="en-US" w:eastAsia="zh-CN" w:bidi="ar"/>
        </w:rPr>
        <w:t>系数折算。</w:t>
      </w:r>
    </w:p>
    <w:p>
      <w:pPr>
        <w:keepNext w:val="0"/>
        <w:keepLines w:val="0"/>
        <w:widowControl w:val="0"/>
        <w:suppressLineNumbers w:val="0"/>
        <w:autoSpaceDE/>
        <w:autoSpaceDN w:val="0"/>
        <w:snapToGrid/>
        <w:spacing w:before="0" w:beforeAutospacing="0" w:after="0" w:afterAutospacing="0" w:line="590" w:lineRule="exact"/>
        <w:ind w:left="0" w:right="0" w:firstLine="643" w:firstLineChars="200"/>
        <w:jc w:val="both"/>
        <w:rPr>
          <w:rFonts w:hAnsi="楷体" w:eastAsia="楷体"/>
          <w:b/>
          <w:bCs/>
          <w:snapToGrid/>
          <w:kern w:val="2"/>
          <w:szCs w:val="32"/>
          <w:lang w:val="en-US"/>
        </w:rPr>
      </w:pPr>
      <w:r>
        <w:rPr>
          <w:rFonts w:hint="eastAsia" w:ascii="Times New Roman" w:hAnsi="楷体" w:eastAsia="楷体" w:cs="楷体"/>
          <w:b/>
          <w:bCs/>
          <w:snapToGrid/>
          <w:kern w:val="2"/>
          <w:sz w:val="32"/>
          <w:szCs w:val="32"/>
          <w:lang w:val="en-US" w:eastAsia="zh-CN" w:bidi="ar"/>
        </w:rPr>
        <w:t>（二）高速公路隧道收费标准定价机制</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我省现行高速公路收费政策没有隧道收费政策和标准的相关规定。</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十四五</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期间，我省规划新建江阴靖江隧道、海太过江通道等高速公路隧道项目。鉴于太湖隧道及其他江底隧道、山体隧道投资造价、后期运维费用均远高于高速公路路段，为促进我省高速公路持续健康发展，对我省长度</w:t>
      </w:r>
      <w:r>
        <w:rPr>
          <w:rFonts w:hint="default" w:ascii="Times New Roman" w:hAnsi="Times New Roman" w:eastAsia="方正仿宋_GBK" w:cs="Times New Roman"/>
          <w:snapToGrid/>
          <w:kern w:val="2"/>
          <w:sz w:val="32"/>
          <w:szCs w:val="32"/>
          <w:lang w:val="en-US" w:eastAsia="zh-CN" w:bidi="ar"/>
        </w:rPr>
        <w:t xml:space="preserve"> 1 </w:t>
      </w:r>
      <w:r>
        <w:rPr>
          <w:rFonts w:hint="eastAsia" w:ascii="Times New Roman" w:hAnsi="方正仿宋_GBK" w:eastAsia="方正仿宋_GBK" w:cs="方正仿宋_GBK"/>
          <w:snapToGrid/>
          <w:kern w:val="2"/>
          <w:sz w:val="32"/>
          <w:szCs w:val="32"/>
          <w:lang w:val="en-US" w:eastAsia="zh-CN" w:bidi="ar"/>
        </w:rPr>
        <w:t>公里及以上的高速公路隧道（包括湖底、江底、山体隧道等），实行根据单位投资分档确定收费标准的定价机制，具体如下表所示。</w:t>
      </w:r>
    </w:p>
    <w:tbl>
      <w:tblPr>
        <w:tblStyle w:val="2"/>
        <w:tblW w:w="0" w:type="auto"/>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tblLayout w:type="fixed"/>
        <w:tblCellMar>
          <w:top w:w="0" w:type="dxa"/>
          <w:left w:w="108" w:type="dxa"/>
          <w:bottom w:w="0" w:type="dxa"/>
          <w:right w:w="108" w:type="dxa"/>
        </w:tblCellMar>
      </w:tblPr>
      <w:tblGrid>
        <w:gridCol w:w="2285"/>
        <w:gridCol w:w="1990"/>
        <w:gridCol w:w="2080"/>
        <w:gridCol w:w="2167"/>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tblCellMar>
            <w:top w:w="0" w:type="dxa"/>
            <w:left w:w="108" w:type="dxa"/>
            <w:bottom w:w="0" w:type="dxa"/>
            <w:right w:w="108" w:type="dxa"/>
          </w:tblCellMar>
        </w:tblPrEx>
        <w:trPr>
          <w:trHeight w:val="736" w:hRule="atLeast"/>
          <w:jc w:val="center"/>
        </w:trPr>
        <w:tc>
          <w:tcPr>
            <w:tcW w:w="2285" w:type="dxa"/>
            <w:tcBorders>
              <w:top w:val="single" w:color="000000" w:sz="12" w:space="0"/>
              <w:left w:val="single" w:color="000000" w:sz="12" w:space="0"/>
              <w:bottom w:val="single" w:color="000000" w:sz="4"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default" w:ascii="Times New Roman" w:hAnsi="Times New Roman" w:eastAsia="黑体" w:cs="Times New Roman"/>
                <w:snapToGrid/>
                <w:kern w:val="2"/>
                <w:sz w:val="24"/>
                <w:szCs w:val="24"/>
                <w:bdr w:val="none" w:color="auto" w:sz="0" w:space="0"/>
                <w:lang w:val="en-US" w:eastAsia="zh-CN" w:bidi="ar"/>
              </w:rPr>
              <w:t xml:space="preserve"> </w:t>
            </w:r>
            <w:r>
              <w:rPr>
                <w:rFonts w:hint="eastAsia" w:ascii="仿宋" w:hAnsi="仿宋" w:eastAsia="仿宋" w:cs="仿宋"/>
                <w:snapToGrid/>
                <w:kern w:val="2"/>
                <w:sz w:val="24"/>
                <w:szCs w:val="28"/>
                <w:bdr w:val="none" w:color="auto" w:sz="0" w:space="0"/>
                <w:lang w:val="en-US" w:eastAsia="zh-CN" w:bidi="ar"/>
              </w:rPr>
              <w:t>单位投资</w:t>
            </w:r>
          </w:p>
        </w:tc>
        <w:tc>
          <w:tcPr>
            <w:tcW w:w="1990" w:type="dxa"/>
            <w:tcBorders>
              <w:top w:val="single" w:color="000000" w:sz="12" w:space="0"/>
              <w:left w:val="single" w:color="000000" w:sz="4" w:space="0"/>
              <w:bottom w:val="single" w:color="000000" w:sz="4"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4亿元/公里以下</w:t>
            </w:r>
          </w:p>
        </w:tc>
        <w:tc>
          <w:tcPr>
            <w:tcW w:w="2080" w:type="dxa"/>
            <w:tcBorders>
              <w:top w:val="single" w:color="000000" w:sz="12" w:space="0"/>
              <w:left w:val="single" w:color="000000" w:sz="4" w:space="0"/>
              <w:bottom w:val="single" w:color="000000" w:sz="4"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4亿元/公里（含）—8亿元/公里</w:t>
            </w:r>
          </w:p>
        </w:tc>
        <w:tc>
          <w:tcPr>
            <w:tcW w:w="2167" w:type="dxa"/>
            <w:tcBorders>
              <w:top w:val="single" w:color="000000" w:sz="12" w:space="0"/>
              <w:left w:val="single" w:color="000000" w:sz="4" w:space="0"/>
              <w:bottom w:val="single" w:color="000000" w:sz="4" w:space="0"/>
              <w:right w:val="single" w:color="000000" w:sz="12"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8亿元/公里及以上</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285" w:type="dxa"/>
            <w:tcBorders>
              <w:top w:val="single" w:color="000000" w:sz="4" w:space="0"/>
              <w:left w:val="single" w:color="000000" w:sz="12" w:space="0"/>
              <w:bottom w:val="single" w:color="000000" w:sz="12"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一型客车收费标准</w:t>
            </w:r>
          </w:p>
        </w:tc>
        <w:tc>
          <w:tcPr>
            <w:tcW w:w="1990" w:type="dxa"/>
            <w:tcBorders>
              <w:top w:val="single" w:color="000000" w:sz="4" w:space="0"/>
              <w:left w:val="single" w:color="000000" w:sz="4" w:space="0"/>
              <w:bottom w:val="single" w:color="000000" w:sz="12"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3元/车公里</w:t>
            </w:r>
          </w:p>
        </w:tc>
        <w:tc>
          <w:tcPr>
            <w:tcW w:w="2080" w:type="dxa"/>
            <w:tcBorders>
              <w:top w:val="single" w:color="000000" w:sz="4" w:space="0"/>
              <w:left w:val="single" w:color="000000" w:sz="4" w:space="0"/>
              <w:bottom w:val="single" w:color="000000" w:sz="12"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4元/车公里</w:t>
            </w:r>
          </w:p>
        </w:tc>
        <w:tc>
          <w:tcPr>
            <w:tcW w:w="2167" w:type="dxa"/>
            <w:tcBorders>
              <w:top w:val="single" w:color="000000" w:sz="4" w:space="0"/>
              <w:left w:val="single" w:color="000000" w:sz="4" w:space="0"/>
              <w:bottom w:val="single" w:color="000000" w:sz="12" w:space="0"/>
              <w:right w:val="single" w:color="000000" w:sz="12"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4.5元/车公里</w:t>
            </w:r>
          </w:p>
        </w:tc>
      </w:tr>
    </w:tbl>
    <w:p>
      <w:pPr>
        <w:keepNext w:val="0"/>
        <w:keepLines w:val="0"/>
        <w:widowControl w:val="0"/>
        <w:suppressLineNumbers w:val="0"/>
        <w:autoSpaceDE/>
        <w:autoSpaceDN w:val="0"/>
        <w:snapToGrid/>
        <w:spacing w:before="0" w:beforeAutospacing="0" w:after="0" w:afterAutospacing="0" w:line="360" w:lineRule="exact"/>
        <w:ind w:left="0" w:right="0" w:firstLine="482" w:firstLineChars="200"/>
        <w:jc w:val="left"/>
        <w:rPr>
          <w:rFonts w:hint="eastAsia" w:ascii="楷体" w:hAnsi="楷体" w:eastAsia="楷体" w:cs="楷体"/>
          <w:b/>
          <w:bCs/>
          <w:snapToGrid/>
          <w:kern w:val="2"/>
          <w:sz w:val="21"/>
          <w:szCs w:val="21"/>
          <w:lang w:val="en-US"/>
        </w:rPr>
      </w:pPr>
      <w:r>
        <w:rPr>
          <w:rFonts w:hint="eastAsia" w:ascii="楷体" w:hAnsi="楷体" w:eastAsia="楷体" w:cs="楷体"/>
          <w:b/>
          <w:bCs/>
          <w:snapToGrid/>
          <w:kern w:val="2"/>
          <w:sz w:val="24"/>
          <w:szCs w:val="21"/>
          <w:lang w:val="en-US" w:eastAsia="zh-CN" w:bidi="ar"/>
        </w:rPr>
        <w:t>注：各隧道</w:t>
      </w:r>
      <w:r>
        <w:rPr>
          <w:rFonts w:hint="eastAsia" w:ascii="楷体" w:hAnsi="楷体" w:eastAsia="楷体" w:cs="宋体"/>
          <w:b/>
          <w:bCs/>
          <w:snapToGrid/>
          <w:kern w:val="2"/>
          <w:sz w:val="24"/>
          <w:szCs w:val="21"/>
          <w:lang w:val="en-US" w:eastAsia="zh-CN" w:bidi="ar"/>
        </w:rPr>
        <w:t>具</w:t>
      </w:r>
      <w:r>
        <w:rPr>
          <w:rFonts w:hint="eastAsia" w:ascii="楷体" w:hAnsi="楷体" w:eastAsia="楷体" w:cs="___WRD_EMBED_SUB_41"/>
          <w:b/>
          <w:bCs/>
          <w:snapToGrid/>
          <w:kern w:val="2"/>
          <w:sz w:val="24"/>
          <w:szCs w:val="21"/>
          <w:lang w:val="en-US" w:eastAsia="zh-CN" w:bidi="ar"/>
        </w:rPr>
        <w:t>体收费标准，</w:t>
      </w:r>
      <w:r>
        <w:rPr>
          <w:rFonts w:hint="eastAsia" w:ascii="楷体" w:hAnsi="楷体" w:eastAsia="楷体" w:cs="宋体"/>
          <w:b/>
          <w:bCs/>
          <w:snapToGrid/>
          <w:kern w:val="2"/>
          <w:sz w:val="24"/>
          <w:szCs w:val="21"/>
          <w:lang w:val="en-US" w:eastAsia="zh-CN" w:bidi="ar"/>
        </w:rPr>
        <w:t>依据上述</w:t>
      </w:r>
      <w:r>
        <w:rPr>
          <w:rFonts w:hint="eastAsia" w:ascii="楷体" w:hAnsi="楷体" w:eastAsia="楷体" w:cs="___WRD_EMBED_SUB_41"/>
          <w:b/>
          <w:bCs/>
          <w:snapToGrid/>
          <w:kern w:val="2"/>
          <w:sz w:val="24"/>
          <w:szCs w:val="21"/>
          <w:lang w:val="en-US" w:eastAsia="zh-CN" w:bidi="ar"/>
        </w:rPr>
        <w:t>定价机制计算的</w:t>
      </w:r>
      <w:r>
        <w:rPr>
          <w:rFonts w:hint="eastAsia" w:ascii="楷体" w:hAnsi="楷体" w:eastAsia="楷体" w:cs="宋体"/>
          <w:b/>
          <w:bCs/>
          <w:snapToGrid/>
          <w:kern w:val="2"/>
          <w:sz w:val="24"/>
          <w:szCs w:val="21"/>
          <w:lang w:val="en-US" w:eastAsia="zh-CN" w:bidi="ar"/>
        </w:rPr>
        <w:t>结果</w:t>
      </w:r>
      <w:r>
        <w:rPr>
          <w:rFonts w:hint="eastAsia" w:ascii="楷体" w:hAnsi="楷体" w:eastAsia="楷体" w:cs="___WRD_EMBED_SUB_41"/>
          <w:b/>
          <w:bCs/>
          <w:snapToGrid/>
          <w:kern w:val="2"/>
          <w:sz w:val="24"/>
          <w:szCs w:val="21"/>
          <w:lang w:val="en-US" w:eastAsia="zh-CN" w:bidi="ar"/>
        </w:rPr>
        <w:t>，按</w:t>
      </w:r>
      <w:r>
        <w:rPr>
          <w:rFonts w:hint="eastAsia" w:ascii="楷体" w:hAnsi="楷体" w:eastAsia="楷体" w:cs="宋体"/>
          <w:b/>
          <w:bCs/>
          <w:snapToGrid/>
          <w:kern w:val="2"/>
          <w:sz w:val="24"/>
          <w:szCs w:val="21"/>
          <w:lang w:val="en-US" w:eastAsia="zh-CN" w:bidi="ar"/>
        </w:rPr>
        <w:t>就低原</w:t>
      </w:r>
      <w:r>
        <w:rPr>
          <w:rFonts w:hint="eastAsia" w:ascii="楷体" w:hAnsi="楷体" w:eastAsia="楷体" w:cs="___WRD_EMBED_SUB_41"/>
          <w:b/>
          <w:bCs/>
          <w:snapToGrid/>
          <w:kern w:val="2"/>
          <w:sz w:val="24"/>
          <w:szCs w:val="21"/>
          <w:lang w:val="en-US" w:eastAsia="zh-CN" w:bidi="ar"/>
        </w:rPr>
        <w:t>则取整</w:t>
      </w:r>
      <w:r>
        <w:rPr>
          <w:rFonts w:hint="eastAsia" w:ascii="楷体" w:hAnsi="楷体" w:eastAsia="楷体" w:cs="宋体"/>
          <w:b/>
          <w:bCs/>
          <w:snapToGrid/>
          <w:kern w:val="2"/>
          <w:sz w:val="24"/>
          <w:szCs w:val="21"/>
          <w:lang w:val="en-US" w:eastAsia="zh-CN" w:bidi="ar"/>
        </w:rPr>
        <w:t>为5</w:t>
      </w:r>
      <w:r>
        <w:rPr>
          <w:rFonts w:hint="eastAsia" w:ascii="楷体" w:hAnsi="楷体" w:eastAsia="楷体" w:cs="楷体"/>
          <w:b/>
          <w:bCs/>
          <w:snapToGrid/>
          <w:kern w:val="2"/>
          <w:sz w:val="24"/>
          <w:szCs w:val="21"/>
          <w:lang w:val="en-US" w:eastAsia="zh-CN" w:bidi="ar"/>
        </w:rPr>
        <w:t>元整数</w:t>
      </w:r>
      <w:r>
        <w:rPr>
          <w:rFonts w:hint="eastAsia" w:ascii="楷体" w:hAnsi="楷体" w:eastAsia="楷体" w:cs="宋体"/>
          <w:b/>
          <w:bCs/>
          <w:snapToGrid/>
          <w:kern w:val="2"/>
          <w:sz w:val="24"/>
          <w:szCs w:val="21"/>
          <w:lang w:val="en-US" w:eastAsia="zh-CN" w:bidi="ar"/>
        </w:rPr>
        <w:t>倍。其他车型</w:t>
      </w:r>
      <w:r>
        <w:rPr>
          <w:rFonts w:hint="eastAsia" w:ascii="楷体" w:hAnsi="楷体" w:eastAsia="楷体" w:cs="楷体"/>
          <w:b/>
          <w:bCs/>
          <w:snapToGrid/>
          <w:kern w:val="2"/>
          <w:sz w:val="24"/>
          <w:szCs w:val="21"/>
          <w:lang w:val="en-US" w:eastAsia="zh-CN" w:bidi="ar"/>
        </w:rPr>
        <w:t>按现</w:t>
      </w:r>
      <w:r>
        <w:rPr>
          <w:rFonts w:hint="eastAsia" w:ascii="楷体" w:hAnsi="楷体" w:eastAsia="楷体" w:cs="宋体"/>
          <w:b/>
          <w:bCs/>
          <w:snapToGrid/>
          <w:kern w:val="2"/>
          <w:sz w:val="24"/>
          <w:szCs w:val="21"/>
          <w:lang w:val="en-US" w:eastAsia="zh-CN" w:bidi="ar"/>
        </w:rPr>
        <w:t>行</w:t>
      </w:r>
      <w:r>
        <w:rPr>
          <w:rFonts w:hint="eastAsia" w:ascii="楷体" w:hAnsi="楷体" w:eastAsia="楷体" w:cs="楷体"/>
          <w:b/>
          <w:bCs/>
          <w:snapToGrid/>
          <w:kern w:val="2"/>
          <w:sz w:val="24"/>
          <w:szCs w:val="21"/>
          <w:lang w:val="en-US" w:eastAsia="zh-CN" w:bidi="ar"/>
        </w:rPr>
        <w:t>系数折算。</w:t>
      </w:r>
    </w:p>
    <w:p>
      <w:pPr>
        <w:keepNext w:val="0"/>
        <w:keepLines w:val="0"/>
        <w:widowControl w:val="0"/>
        <w:suppressLineNumbers w:val="0"/>
        <w:autoSpaceDE/>
        <w:autoSpaceDN w:val="0"/>
        <w:snapToGrid/>
        <w:spacing w:before="0" w:beforeAutospacing="0" w:after="0" w:afterAutospacing="0" w:line="590" w:lineRule="exact"/>
        <w:ind w:left="0" w:right="0" w:firstLine="0"/>
        <w:jc w:val="both"/>
        <w:rPr>
          <w:rFonts w:eastAsia="楷体"/>
          <w:bCs/>
          <w:snapToGrid/>
          <w:kern w:val="2"/>
          <w:szCs w:val="32"/>
          <w:lang w:val="en-US"/>
        </w:rPr>
      </w:pPr>
      <w:r>
        <w:rPr>
          <w:rFonts w:hint="eastAsia" w:ascii="楷体" w:hAnsi="楷体" w:eastAsia="楷体" w:cs="楷体"/>
          <w:bCs/>
          <w:snapToGrid/>
          <w:kern w:val="2"/>
          <w:sz w:val="32"/>
          <w:szCs w:val="32"/>
          <w:lang w:val="en-US" w:eastAsia="zh-CN" w:bidi="ar"/>
        </w:rPr>
        <w:t xml:space="preserve">    </w:t>
      </w:r>
      <w:r>
        <w:rPr>
          <w:rFonts w:hint="eastAsia" w:ascii="Times New Roman" w:hAnsi="楷体" w:eastAsia="楷体" w:cs="楷体"/>
          <w:b/>
          <w:bCs/>
          <w:snapToGrid/>
          <w:kern w:val="2"/>
          <w:sz w:val="32"/>
          <w:szCs w:val="32"/>
          <w:lang w:val="en-US" w:eastAsia="zh-CN" w:bidi="ar"/>
        </w:rPr>
        <w:t>（三）高速公路改扩建项目收费标准定价机制</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我省现行高速公路车辆通行费收费标准，以一型客车为例，按单位投资额共分为三类：单位投资</w:t>
      </w:r>
      <w:r>
        <w:rPr>
          <w:rFonts w:hint="default" w:ascii="Times New Roman" w:hAnsi="Times New Roman" w:eastAsia="方正仿宋_GBK" w:cs="Times New Roman"/>
          <w:snapToGrid/>
          <w:kern w:val="2"/>
          <w:sz w:val="32"/>
          <w:szCs w:val="32"/>
          <w:lang w:val="en-US" w:eastAsia="zh-CN" w:bidi="ar"/>
        </w:rPr>
        <w:t>6000</w:t>
      </w:r>
      <w:r>
        <w:rPr>
          <w:rFonts w:hint="eastAsia" w:ascii="Times New Roman" w:hAnsi="方正仿宋_GBK" w:eastAsia="方正仿宋_GBK" w:cs="方正仿宋_GBK"/>
          <w:snapToGrid/>
          <w:kern w:val="2"/>
          <w:sz w:val="32"/>
          <w:szCs w:val="32"/>
          <w:lang w:val="en-US" w:eastAsia="zh-CN" w:bidi="ar"/>
        </w:rPr>
        <w:t>万元以下的执行</w:t>
      </w:r>
      <w:r>
        <w:rPr>
          <w:rFonts w:hint="default" w:ascii="Times New Roman" w:hAnsi="Times New Roman" w:eastAsia="方正仿宋_GBK" w:cs="Times New Roman"/>
          <w:snapToGrid/>
          <w:kern w:val="2"/>
          <w:sz w:val="32"/>
          <w:szCs w:val="32"/>
          <w:lang w:val="en-US" w:eastAsia="zh-CN" w:bidi="ar"/>
        </w:rPr>
        <w:t>0.45</w:t>
      </w:r>
      <w:r>
        <w:rPr>
          <w:rFonts w:hint="eastAsia" w:ascii="Times New Roman" w:hAnsi="方正仿宋_GBK" w:eastAsia="方正仿宋_GBK" w:cs="方正仿宋_GBK"/>
          <w:snapToGrid/>
          <w:kern w:val="2"/>
          <w:sz w:val="32"/>
          <w:szCs w:val="32"/>
          <w:lang w:val="en-US" w:eastAsia="zh-CN" w:bidi="ar"/>
        </w:rPr>
        <w:t>元</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车公里收费标准，单位投资</w:t>
      </w:r>
      <w:r>
        <w:rPr>
          <w:rFonts w:hint="default" w:ascii="Times New Roman" w:hAnsi="Times New Roman" w:eastAsia="方正仿宋_GBK" w:cs="Times New Roman"/>
          <w:snapToGrid/>
          <w:kern w:val="2"/>
          <w:sz w:val="32"/>
          <w:szCs w:val="32"/>
          <w:lang w:val="en-US" w:eastAsia="zh-CN" w:bidi="ar"/>
        </w:rPr>
        <w:t>6000</w:t>
      </w:r>
      <w:r>
        <w:rPr>
          <w:rFonts w:hint="eastAsia" w:ascii="Times New Roman" w:hAnsi="方正仿宋_GBK" w:eastAsia="方正仿宋_GBK" w:cs="方正仿宋_GBK"/>
          <w:snapToGrid/>
          <w:kern w:val="2"/>
          <w:sz w:val="32"/>
          <w:szCs w:val="32"/>
          <w:lang w:val="en-US" w:eastAsia="zh-CN" w:bidi="ar"/>
        </w:rPr>
        <w:t>万元至</w:t>
      </w:r>
      <w:r>
        <w:rPr>
          <w:rFonts w:hint="default" w:ascii="Times New Roman" w:hAnsi="Times New Roman" w:eastAsia="方正仿宋_GBK" w:cs="Times New Roman"/>
          <w:snapToGrid/>
          <w:kern w:val="2"/>
          <w:sz w:val="32"/>
          <w:szCs w:val="32"/>
          <w:lang w:val="en-US" w:eastAsia="zh-CN" w:bidi="ar"/>
        </w:rPr>
        <w:t>8000</w:t>
      </w:r>
      <w:r>
        <w:rPr>
          <w:rFonts w:hint="eastAsia" w:ascii="Times New Roman" w:hAnsi="方正仿宋_GBK" w:eastAsia="方正仿宋_GBK" w:cs="方正仿宋_GBK"/>
          <w:snapToGrid/>
          <w:kern w:val="2"/>
          <w:sz w:val="32"/>
          <w:szCs w:val="32"/>
          <w:lang w:val="en-US" w:eastAsia="zh-CN" w:bidi="ar"/>
        </w:rPr>
        <w:t>万元的执行</w:t>
      </w:r>
      <w:r>
        <w:rPr>
          <w:rFonts w:hint="default" w:ascii="Times New Roman" w:hAnsi="Times New Roman" w:eastAsia="方正仿宋_GBK" w:cs="Times New Roman"/>
          <w:snapToGrid/>
          <w:kern w:val="2"/>
          <w:sz w:val="32"/>
          <w:szCs w:val="32"/>
          <w:lang w:val="en-US" w:eastAsia="zh-CN" w:bidi="ar"/>
        </w:rPr>
        <w:t>0.5</w:t>
      </w:r>
      <w:r>
        <w:rPr>
          <w:rFonts w:hint="eastAsia" w:ascii="Times New Roman" w:hAnsi="方正仿宋_GBK" w:eastAsia="方正仿宋_GBK" w:cs="方正仿宋_GBK"/>
          <w:snapToGrid/>
          <w:kern w:val="2"/>
          <w:sz w:val="32"/>
          <w:szCs w:val="32"/>
          <w:lang w:val="en-US" w:eastAsia="zh-CN" w:bidi="ar"/>
        </w:rPr>
        <w:t>元</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车公里收费标准，单位投资</w:t>
      </w:r>
      <w:r>
        <w:rPr>
          <w:rFonts w:hint="default" w:ascii="Times New Roman" w:hAnsi="Times New Roman" w:eastAsia="方正仿宋_GBK" w:cs="Times New Roman"/>
          <w:snapToGrid/>
          <w:kern w:val="2"/>
          <w:sz w:val="32"/>
          <w:szCs w:val="32"/>
          <w:lang w:val="en-US" w:eastAsia="zh-CN" w:bidi="ar"/>
        </w:rPr>
        <w:t>8000</w:t>
      </w:r>
      <w:r>
        <w:rPr>
          <w:rFonts w:hint="eastAsia" w:ascii="Times New Roman" w:hAnsi="方正仿宋_GBK" w:eastAsia="方正仿宋_GBK" w:cs="方正仿宋_GBK"/>
          <w:snapToGrid/>
          <w:kern w:val="2"/>
          <w:sz w:val="32"/>
          <w:szCs w:val="32"/>
          <w:lang w:val="en-US" w:eastAsia="zh-CN" w:bidi="ar"/>
        </w:rPr>
        <w:t>万元以上的执行</w:t>
      </w:r>
      <w:r>
        <w:rPr>
          <w:rFonts w:hint="default" w:ascii="Times New Roman" w:hAnsi="Times New Roman" w:eastAsia="方正仿宋_GBK" w:cs="Times New Roman"/>
          <w:snapToGrid/>
          <w:kern w:val="2"/>
          <w:sz w:val="32"/>
          <w:szCs w:val="32"/>
          <w:lang w:val="en-US" w:eastAsia="zh-CN" w:bidi="ar"/>
        </w:rPr>
        <w:t>0.55</w:t>
      </w:r>
      <w:r>
        <w:rPr>
          <w:rFonts w:hint="eastAsia" w:ascii="Times New Roman" w:hAnsi="方正仿宋_GBK" w:eastAsia="方正仿宋_GBK" w:cs="方正仿宋_GBK"/>
          <w:snapToGrid/>
          <w:kern w:val="2"/>
          <w:sz w:val="32"/>
          <w:szCs w:val="32"/>
          <w:lang w:val="en-US" w:eastAsia="zh-CN" w:bidi="ar"/>
        </w:rPr>
        <w:t>元</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车公里收费标准。</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十四五</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期间，我省规划改扩建高速公路里程</w:t>
      </w:r>
      <w:r>
        <w:rPr>
          <w:rFonts w:hint="default" w:ascii="Times New Roman" w:hAnsi="Times New Roman" w:eastAsia="方正仿宋_GBK" w:cs="Times New Roman"/>
          <w:snapToGrid/>
          <w:kern w:val="2"/>
          <w:sz w:val="32"/>
          <w:szCs w:val="32"/>
          <w:lang w:val="en-US" w:eastAsia="zh-CN" w:bidi="ar"/>
        </w:rPr>
        <w:t>770</w:t>
      </w:r>
      <w:r>
        <w:rPr>
          <w:rFonts w:hint="eastAsia" w:ascii="Times New Roman" w:hAnsi="方正仿宋_GBK" w:eastAsia="方正仿宋_GBK" w:cs="方正仿宋_GBK"/>
          <w:snapToGrid/>
          <w:kern w:val="2"/>
          <w:sz w:val="32"/>
          <w:szCs w:val="32"/>
          <w:lang w:val="en-US" w:eastAsia="zh-CN" w:bidi="ar"/>
        </w:rPr>
        <w:t>公里以上，改扩建日益成为我省高速公路建设发展的重要途径。鉴于高速公路改扩建工程征地拆迁费用、人工成本、建筑材料等成本持续攀升，改扩建投资持续增加，统筹考虑促进我省高速公路事业长远发展和降低实体经济企业成本等因素，对于高速公路改扩建项目，实行根据单位投资分档确定收费标准的定价机制，具体如下表所示。</w:t>
      </w:r>
    </w:p>
    <w:tbl>
      <w:tblPr>
        <w:tblStyle w:val="2"/>
        <w:tblW w:w="0" w:type="auto"/>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tblLayout w:type="fixed"/>
        <w:tblCellMar>
          <w:top w:w="0" w:type="dxa"/>
          <w:left w:w="108" w:type="dxa"/>
          <w:bottom w:w="0" w:type="dxa"/>
          <w:right w:w="108" w:type="dxa"/>
        </w:tblCellMar>
      </w:tblPr>
      <w:tblGrid>
        <w:gridCol w:w="1635"/>
        <w:gridCol w:w="2280"/>
        <w:gridCol w:w="2830"/>
        <w:gridCol w:w="1777"/>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tblCellMar>
            <w:top w:w="0" w:type="dxa"/>
            <w:left w:w="108" w:type="dxa"/>
            <w:bottom w:w="0" w:type="dxa"/>
            <w:right w:w="108" w:type="dxa"/>
          </w:tblCellMar>
        </w:tblPrEx>
        <w:trPr>
          <w:trHeight w:val="369" w:hRule="atLeast"/>
          <w:jc w:val="center"/>
        </w:trPr>
        <w:tc>
          <w:tcPr>
            <w:tcW w:w="1635" w:type="dxa"/>
            <w:tcBorders>
              <w:top w:val="single" w:color="000000" w:sz="12" w:space="0"/>
              <w:left w:val="single" w:color="000000" w:sz="12" w:space="0"/>
              <w:bottom w:val="single" w:color="000000" w:sz="4"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单位投资</w:t>
            </w:r>
          </w:p>
        </w:tc>
        <w:tc>
          <w:tcPr>
            <w:tcW w:w="2280" w:type="dxa"/>
            <w:tcBorders>
              <w:top w:val="single" w:color="000000" w:sz="12" w:space="0"/>
              <w:left w:val="single" w:color="000000" w:sz="4" w:space="0"/>
              <w:bottom w:val="single" w:color="000000" w:sz="4"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0.8亿元/公里以下</w:t>
            </w:r>
          </w:p>
        </w:tc>
        <w:tc>
          <w:tcPr>
            <w:tcW w:w="2830" w:type="dxa"/>
            <w:tcBorders>
              <w:top w:val="single" w:color="000000" w:sz="12" w:space="0"/>
              <w:left w:val="single" w:color="000000" w:sz="4" w:space="0"/>
              <w:bottom w:val="single" w:color="000000" w:sz="4"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0.8亿元/公里（含）—1.2 亿/ 公里</w:t>
            </w:r>
          </w:p>
        </w:tc>
        <w:tc>
          <w:tcPr>
            <w:tcW w:w="1777" w:type="dxa"/>
            <w:tcBorders>
              <w:top w:val="single" w:color="000000" w:sz="12" w:space="0"/>
              <w:left w:val="single" w:color="000000" w:sz="4" w:space="0"/>
              <w:bottom w:val="single" w:color="000000" w:sz="4" w:space="0"/>
              <w:right w:val="single" w:color="000000" w:sz="12"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1.2 亿/公里及以上</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tblCellMar>
            <w:top w:w="0" w:type="dxa"/>
            <w:left w:w="108" w:type="dxa"/>
            <w:bottom w:w="0" w:type="dxa"/>
            <w:right w:w="108" w:type="dxa"/>
          </w:tblCellMar>
        </w:tblPrEx>
        <w:trPr>
          <w:trHeight w:val="458" w:hRule="atLeast"/>
          <w:jc w:val="center"/>
        </w:trPr>
        <w:tc>
          <w:tcPr>
            <w:tcW w:w="1635" w:type="dxa"/>
            <w:tcBorders>
              <w:top w:val="single" w:color="000000" w:sz="4" w:space="0"/>
              <w:left w:val="single" w:color="000000" w:sz="12" w:space="0"/>
              <w:bottom w:val="single" w:color="000000" w:sz="12"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一型客车收费标准</w:t>
            </w:r>
          </w:p>
        </w:tc>
        <w:tc>
          <w:tcPr>
            <w:tcW w:w="2280" w:type="dxa"/>
            <w:tcBorders>
              <w:top w:val="single" w:color="000000" w:sz="4" w:space="0"/>
              <w:left w:val="single" w:color="000000" w:sz="4" w:space="0"/>
              <w:bottom w:val="single" w:color="000000" w:sz="12"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default" w:ascii="Calibri" w:hAnsi="Calibri" w:eastAsia="仿宋" w:cs="Calibri"/>
                <w:snapToGrid/>
                <w:kern w:val="2"/>
                <w:sz w:val="24"/>
                <w:szCs w:val="28"/>
                <w:bdr w:val="none" w:color="auto" w:sz="0" w:space="0"/>
                <w:lang w:val="en-US" w:eastAsia="zh-CN" w:bidi="ar"/>
              </w:rPr>
              <w:t> </w:t>
            </w:r>
            <w:r>
              <w:rPr>
                <w:rFonts w:hint="eastAsia" w:ascii="仿宋" w:hAnsi="仿宋" w:eastAsia="仿宋" w:cs="仿宋"/>
                <w:snapToGrid/>
                <w:kern w:val="2"/>
                <w:sz w:val="24"/>
                <w:szCs w:val="28"/>
                <w:bdr w:val="none" w:color="auto" w:sz="0" w:space="0"/>
                <w:lang w:val="en-US" w:eastAsia="zh-CN" w:bidi="ar"/>
              </w:rPr>
              <w:t>继续执行</w:t>
            </w:r>
          </w:p>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现行费率标准</w:t>
            </w:r>
          </w:p>
        </w:tc>
        <w:tc>
          <w:tcPr>
            <w:tcW w:w="2830" w:type="dxa"/>
            <w:tcBorders>
              <w:top w:val="single" w:color="000000" w:sz="4" w:space="0"/>
              <w:left w:val="single" w:color="000000" w:sz="4" w:space="0"/>
              <w:bottom w:val="single" w:color="000000" w:sz="12" w:space="0"/>
              <w:right w:val="single" w:color="000000" w:sz="4"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在改扩建之前费率标准基础上提高一档（最高不突破 0.55 元/ 车公里）</w:t>
            </w:r>
          </w:p>
        </w:tc>
        <w:tc>
          <w:tcPr>
            <w:tcW w:w="1777" w:type="dxa"/>
            <w:tcBorders>
              <w:top w:val="single" w:color="000000" w:sz="4" w:space="0"/>
              <w:left w:val="single" w:color="000000" w:sz="4" w:space="0"/>
              <w:bottom w:val="single" w:color="000000" w:sz="12" w:space="0"/>
              <w:right w:val="single" w:color="000000" w:sz="12" w:space="0"/>
            </w:tcBorders>
            <w:shd w:val="clear"/>
            <w:vAlign w:val="center"/>
          </w:tcPr>
          <w:p>
            <w:pPr>
              <w:keepNext w:val="0"/>
              <w:keepLines w:val="0"/>
              <w:widowControl/>
              <w:suppressLineNumbers w:val="0"/>
              <w:autoSpaceDE/>
              <w:autoSpaceDN w:val="0"/>
              <w:snapToGrid/>
              <w:spacing w:before="0" w:beforeAutospacing="0" w:after="0" w:afterAutospacing="0" w:line="0" w:lineRule="atLeast"/>
              <w:ind w:left="0" w:right="0" w:firstLine="0"/>
              <w:jc w:val="center"/>
              <w:rPr>
                <w:rFonts w:hint="eastAsia" w:ascii="仿宋" w:hAnsi="仿宋" w:eastAsia="仿宋" w:cs="仿宋"/>
                <w:kern w:val="2"/>
                <w:sz w:val="24"/>
                <w:szCs w:val="28"/>
                <w:bdr w:val="none" w:color="auto" w:sz="0" w:space="0"/>
                <w:lang w:val="en-US"/>
              </w:rPr>
            </w:pPr>
            <w:r>
              <w:rPr>
                <w:rFonts w:hint="eastAsia" w:ascii="仿宋" w:hAnsi="仿宋" w:eastAsia="仿宋" w:cs="仿宋"/>
                <w:snapToGrid/>
                <w:kern w:val="2"/>
                <w:sz w:val="24"/>
                <w:szCs w:val="28"/>
                <w:bdr w:val="none" w:color="auto" w:sz="0" w:space="0"/>
                <w:lang w:val="en-US" w:eastAsia="zh-CN" w:bidi="ar"/>
              </w:rPr>
              <w:t>费率标准 0.55元/车公里</w:t>
            </w:r>
          </w:p>
        </w:tc>
      </w:tr>
    </w:tbl>
    <w:p>
      <w:pPr>
        <w:keepNext w:val="0"/>
        <w:keepLines w:val="0"/>
        <w:widowControl w:val="0"/>
        <w:suppressLineNumbers w:val="0"/>
        <w:autoSpaceDE/>
        <w:autoSpaceDN w:val="0"/>
        <w:snapToGrid/>
        <w:spacing w:before="0" w:beforeAutospacing="0" w:after="0" w:afterAutospacing="0" w:line="590" w:lineRule="exact"/>
        <w:ind w:left="0" w:right="0" w:firstLine="482" w:firstLineChars="200"/>
        <w:jc w:val="left"/>
        <w:rPr>
          <w:rFonts w:hint="eastAsia" w:ascii="楷体" w:hAnsi="楷体" w:eastAsia="楷体" w:cs="楷体"/>
          <w:bCs/>
          <w:snapToGrid/>
          <w:kern w:val="2"/>
          <w:sz w:val="24"/>
          <w:szCs w:val="24"/>
          <w:lang w:val="en-US"/>
        </w:rPr>
      </w:pPr>
      <w:r>
        <w:rPr>
          <w:rFonts w:hint="eastAsia" w:ascii="楷体" w:hAnsi="楷体" w:eastAsia="楷体" w:cs="楷体"/>
          <w:b/>
          <w:bCs/>
          <w:snapToGrid/>
          <w:kern w:val="2"/>
          <w:sz w:val="24"/>
          <w:szCs w:val="24"/>
          <w:lang w:val="en-US" w:eastAsia="zh-CN" w:bidi="ar"/>
        </w:rPr>
        <w:t>注：其他客车车型收费标准按</w:t>
      </w:r>
      <w:bookmarkStart w:id="0" w:name="_GoBack"/>
      <w:bookmarkEnd w:id="0"/>
      <w:r>
        <w:rPr>
          <w:rFonts w:hint="eastAsia" w:ascii="楷体" w:hAnsi="楷体" w:eastAsia="楷体" w:cs="楷体"/>
          <w:b/>
          <w:bCs/>
          <w:snapToGrid/>
          <w:kern w:val="2"/>
          <w:sz w:val="24"/>
          <w:szCs w:val="24"/>
          <w:lang w:val="en-US" w:eastAsia="zh-CN" w:bidi="ar"/>
        </w:rPr>
        <w:t>现行收费系数折算。货车收费标准保持不变。</w:t>
      </w:r>
    </w:p>
    <w:p>
      <w:pPr>
        <w:keepNext/>
        <w:keepLines/>
        <w:widowControl w:val="0"/>
        <w:suppressLineNumbers w:val="0"/>
        <w:autoSpaceDE/>
        <w:autoSpaceDN w:val="0"/>
        <w:snapToGrid/>
        <w:spacing w:before="0" w:beforeAutospacing="0" w:after="0" w:afterAutospacing="0" w:line="590" w:lineRule="exact"/>
        <w:ind w:left="0" w:right="0" w:firstLine="640" w:firstLineChars="200"/>
        <w:jc w:val="left"/>
        <w:outlineLvl w:val="1"/>
        <w:rPr>
          <w:rFonts w:eastAsia="黑体"/>
          <w:bCs/>
          <w:snapToGrid/>
          <w:kern w:val="2"/>
          <w:szCs w:val="22"/>
          <w:lang w:val="en-US"/>
        </w:rPr>
      </w:pPr>
      <w:r>
        <w:rPr>
          <w:rFonts w:hint="eastAsia" w:ascii="Times New Roman" w:hAnsi="Arial" w:eastAsia="黑体" w:cs="黑体"/>
          <w:bCs/>
          <w:snapToGrid/>
          <w:kern w:val="2"/>
          <w:sz w:val="32"/>
          <w:szCs w:val="22"/>
          <w:lang w:val="en-US" w:eastAsia="zh-CN" w:bidi="ar"/>
        </w:rPr>
        <w:t>四、需说明事项</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一）本机制适用于新建高速公路跨江大桥、隧道和改扩建项目。项目具体收费标准，按现行定调价程序规定，在各项目建成运营通车前，由省交通运输厅会同省发展改革委、省财政厅依据本机制规定另行发文确定。</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（二）车型分类按照《收费公路车辆通行费车型分类》（</w:t>
      </w:r>
      <w:r>
        <w:rPr>
          <w:rFonts w:hint="default" w:ascii="Times New Roman" w:hAnsi="Times New Roman" w:eastAsia="方正仿宋_GBK" w:cs="Times New Roman"/>
          <w:snapToGrid/>
          <w:kern w:val="2"/>
          <w:sz w:val="32"/>
          <w:szCs w:val="32"/>
          <w:lang w:val="en-US" w:eastAsia="zh-CN" w:bidi="ar"/>
        </w:rPr>
        <w:t>JT/T489-2019</w:t>
      </w:r>
      <w:r>
        <w:rPr>
          <w:rFonts w:hint="eastAsia" w:ascii="Times New Roman" w:hAnsi="方正仿宋_GBK" w:eastAsia="方正仿宋_GBK" w:cs="方正仿宋_GBK"/>
          <w:snapToGrid/>
          <w:kern w:val="2"/>
          <w:sz w:val="32"/>
          <w:szCs w:val="32"/>
          <w:lang w:val="en-US" w:eastAsia="zh-CN" w:bidi="ar"/>
        </w:rPr>
        <w:t>）执行。</w:t>
      </w:r>
    </w:p>
    <w:p/>
    <w:sectPr>
      <w:pgSz w:w="12240" w:h="15840"/>
      <w:pgMar w:top="1440" w:right="1800" w:bottom="1440" w:left="1800" w:header="720" w:footer="720" w:gutter="0"/>
      <w:paperSrc/>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fixed"/>
    <w:sig w:usb0="00000001" w:usb1="080E0000" w:usb2="00000000" w:usb3="00000000" w:csb0="00040000" w:csb1="00000000"/>
  </w:font>
  <w:font w:name="@___WRD_EMBED_SUB_41">
    <w:altName w:val="宋体"/>
    <w:panose1 w:val="00000000000000000000"/>
    <w:charset w:val="86"/>
    <w:family w:val="auto"/>
    <w:pitch w:val="default"/>
    <w:sig w:usb0="00000000" w:usb1="080E0000" w:usb2="00000016" w:usb3="00000000" w:csb0="0004001F" w:csb1="00000000"/>
  </w:font>
  <w:font w:name="@楷体">
    <w:panose1 w:val="02010609060101010101"/>
    <w:charset w:val="86"/>
    <w:family w:val="auto"/>
    <w:pitch w:val="fixed"/>
    <w:sig w:usb0="800002BF" w:usb1="38CF7CFA" w:usb2="00000016" w:usb3="00000000" w:csb0="00040001" w:csb1="00000000"/>
  </w:font>
  <w:font w:name="仿宋_GB2312">
    <w:altName w:val="仿宋"/>
    <w:panose1 w:val="00000000000000000000"/>
    <w:charset w:val="86"/>
    <w:family w:val="auto"/>
    <w:pitch w:val="fixed"/>
    <w:sig w:usb0="00000000" w:usb1="080E0000" w:usb2="00000010" w:usb3="00000000" w:csb0="00040000" w:csb1="00000000"/>
  </w:font>
  <w:font w:name="@方正楷体简体">
    <w:panose1 w:val="02010601030101010101"/>
    <w:charset w:val="86"/>
    <w:family w:val="auto"/>
    <w:pitch w:val="variable"/>
    <w:sig w:usb0="00000001" w:usb1="080E0000" w:usb2="00000000" w:usb3="00000000" w:csb0="00040000" w:csb1="00000000"/>
  </w:font>
  <w:font w:name="方正仿宋_GBK">
    <w:panose1 w:val="03000509000000000000"/>
    <w:charset w:val="86"/>
    <w:family w:val="auto"/>
    <w:pitch w:val="fixed"/>
    <w:sig w:usb0="00000001" w:usb1="080E0000" w:usb2="00000000" w:usb3="00000000" w:csb0="00040000" w:csb1="00000000"/>
  </w:font>
  <w:font w:name="仿宋">
    <w:panose1 w:val="02010609060101010101"/>
    <w:charset w:val="86"/>
    <w:family w:val="auto"/>
    <w:pitch w:val="fixed"/>
    <w:sig w:usb0="800002BF" w:usb1="38CF7CFA" w:usb2="00000016" w:usb3="00000000" w:csb0="00040001" w:csb1="00000000"/>
  </w:font>
  <w:font w:name="楷体">
    <w:panose1 w:val="02010609060101010101"/>
    <w:charset w:val="86"/>
    <w:family w:val="auto"/>
    <w:pitch w:val="fixed"/>
    <w:sig w:usb0="800002BF" w:usb1="38CF7CFA" w:usb2="00000016" w:usb3="00000000" w:csb0="00040001" w:csb1="00000000"/>
  </w:font>
  <w:font w:name="方正小标宋_GBK">
    <w:panose1 w:val="03000509000000000000"/>
    <w:charset w:val="86"/>
    <w:family w:val="auto"/>
    <w:pitch w:val="fixed"/>
    <w:sig w:usb0="00000001" w:usb1="080E0000" w:usb2="00000000" w:usb3="00000000" w:csb0="00040000" w:csb1="00000000"/>
  </w:font>
  <w:font w:name="方正楷体简体">
    <w:panose1 w:val="02010601030101010101"/>
    <w:charset w:val="86"/>
    <w:family w:val="auto"/>
    <w:pitch w:val="variable"/>
    <w:sig w:usb0="00000001" w:usb1="080E0000" w:usb2="00000000" w:usb3="00000000" w:csb0="00040000" w:csb1="00000000"/>
  </w:font>
  <w:font w:name="___WRD_EMBED_SUB_41">
    <w:altName w:val="Arial Unicode MS"/>
    <w:panose1 w:val="00000000000000000000"/>
    <w:charset w:val="86"/>
    <w:family w:val="auto"/>
    <w:pitch w:val="default"/>
    <w:sig w:usb0="00000000" w:usb1="080E0000" w:usb2="00000016" w:usb3="00000000" w:csb0="0004001F" w:csb1="00000000"/>
  </w:font>
  <w:font w:name="@宋体">
    <w:panose1 w:val="02010600030101010101"/>
    <w:charset w:val="86"/>
    <w:family w:val="auto"/>
    <w:pitch w:val="variable"/>
    <w:sig w:usb0="00000003" w:usb1="288F0000" w:usb2="00000006" w:usb3="00000000" w:csb0="00040001" w:csb1="00000000"/>
  </w:font>
  <w:font w:name="@仿宋">
    <w:panose1 w:val="02010609060101010101"/>
    <w:charset w:val="86"/>
    <w:family w:val="auto"/>
    <w:pitch w:val="fixed"/>
    <w:sig w:usb0="800002BF" w:usb1="38CF7CFA" w:usb2="00000016" w:usb3="00000000" w:csb0="00040001" w:csb1="00000000"/>
  </w:font>
  <w:font w:name="@黑体">
    <w:panose1 w:val="02010609060101010101"/>
    <w:charset w:val="86"/>
    <w:family w:val="auto"/>
    <w:pitch w:val="fixed"/>
    <w:sig w:usb0="800002BF" w:usb1="38CF7CFA" w:usb2="00000016" w:usb3="00000000" w:csb0="00040001" w:csb1="00000000"/>
  </w:font>
  <w:font w:name="@方正仿宋_GBK">
    <w:panose1 w:val="03000509000000000000"/>
    <w:charset w:val="86"/>
    <w:family w:val="auto"/>
    <w:pitch w:val="fixed"/>
    <w:sig w:usb0="00000001" w:usb1="080E0000" w:usb2="00000000" w:usb3="00000000" w:csb0="00040000" w:csb1="00000000"/>
  </w:font>
  <w:font w:name="@仿宋_GB2312">
    <w:altName w:val="仿宋"/>
    <w:panose1 w:val="00000000000000000000"/>
    <w:charset w:val="86"/>
    <w:family w:val="auto"/>
    <w:pitch w:val="fixed"/>
    <w:sig w:usb0="00000000" w:usb1="080E0000" w:usb2="00000010" w:usb3="00000000" w:csb0="00040000"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3F71E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pPr>
      <w:keepNext w:val="0"/>
      <w:keepLines w:val="0"/>
      <w:widowControl/>
      <w:suppressLineNumbers w:val="0"/>
      <w:spacing w:before="0" w:beforeAutospacing="0" w:after="0" w:afterAutospacing="0"/>
      <w:ind w:left="0" w:right="0"/>
    </w:pPr>
    <w:rPr>
      <w:rFonts w:hint="default" w:ascii="Calibri" w:hAnsi="Calibri" w:eastAsia="宋体" w:cs="Times New Roman"/>
      <w:kern w:val="2"/>
      <w:sz w:val="21"/>
      <w:szCs w:val="22"/>
    </w:rPr>
    <w:tblPr>
      <w:tblCellMar>
        <w:top w:w="0" w:type="dxa"/>
        <w:left w:w="108" w:type="dxa"/>
        <w:bottom w:w="0" w:type="dxa"/>
        <w:right w:w="108" w:type="dxa"/>
      </w:tblCellMar>
    </w:tblPr>
  </w:style>
  <w:style w:type="character" w:styleId="4">
    <w:name w:val="Hyperlink"/>
    <w:basedOn w:val="3"/>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2021-12-23T01:37:08Z</dcterms:created>
  <dc:creator>caomm</dc:creator>
  <cp:lastModifiedBy>Dame D.O.L.L.A.</cp:lastModifiedBy>
  <dcterms:modified xsi:type="dcterms:W3CDTF">2021-12-23T01:37:46Z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E7178BA18DFF4C049D093CEC386E25E5</vt:lpwstr>
  </property>
</Properties>
</file>