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53135">
      <w:pPr>
        <w:spacing w:line="590" w:lineRule="exact"/>
        <w:jc w:val="center"/>
        <w:rPr>
          <w:rFonts w:ascii="Times New Roman" w:hAnsi="Times New Roman" w:eastAsia="方正小标宋_GBK"/>
          <w:sz w:val="44"/>
          <w:szCs w:val="44"/>
        </w:rPr>
      </w:pPr>
      <w:bookmarkStart w:id="0" w:name="_Hlk219896946"/>
    </w:p>
    <w:p w14:paraId="643DA6C7">
      <w:pPr>
        <w:spacing w:line="590" w:lineRule="exact"/>
        <w:jc w:val="center"/>
        <w:rPr>
          <w:rFonts w:ascii="Times New Roman" w:hAnsi="Times New Roman" w:eastAsia="方正仿宋_GBK"/>
          <w:sz w:val="32"/>
          <w:szCs w:val="32"/>
        </w:rPr>
      </w:pPr>
      <w:r>
        <w:rPr>
          <w:rFonts w:ascii="Times New Roman" w:hAnsi="Times New Roman" w:eastAsia="方正小标宋_GBK"/>
          <w:sz w:val="44"/>
          <w:szCs w:val="44"/>
        </w:rPr>
        <w:t>省政府关于加快推进铁路高质量发展的意见</w:t>
      </w:r>
    </w:p>
    <w:p w14:paraId="2C34090B">
      <w:pPr>
        <w:spacing w:line="590" w:lineRule="exact"/>
        <w:jc w:val="center"/>
        <w:rPr>
          <w:rFonts w:ascii="方正楷体_GBK" w:hAnsi="Times New Roman" w:eastAsia="方正楷体_GBK"/>
          <w:sz w:val="32"/>
          <w:szCs w:val="32"/>
        </w:rPr>
      </w:pPr>
      <w:r>
        <w:rPr>
          <w:rFonts w:hint="eastAsia" w:ascii="方正楷体_GBK" w:hAnsi="Times New Roman" w:eastAsia="方正楷体_GBK"/>
          <w:sz w:val="32"/>
          <w:szCs w:val="32"/>
        </w:rPr>
        <w:t>（征求意见稿）</w:t>
      </w:r>
    </w:p>
    <w:p w14:paraId="634BC249">
      <w:pPr>
        <w:spacing w:after="0" w:line="590" w:lineRule="exact"/>
        <w:rPr>
          <w:rFonts w:ascii="Times New Roman" w:hAnsi="Times New Roman" w:eastAsia="方正仿宋_GBK"/>
          <w:sz w:val="32"/>
          <w:szCs w:val="32"/>
        </w:rPr>
      </w:pPr>
    </w:p>
    <w:p w14:paraId="6C695BCF">
      <w:pPr>
        <w:adjustRightInd w:val="0"/>
        <w:snapToGrid w:val="0"/>
        <w:spacing w:after="0" w:line="590" w:lineRule="exact"/>
        <w:rPr>
          <w:rFonts w:ascii="Times New Roman" w:hAnsi="Times New Roman" w:eastAsia="方正仿宋_GBK"/>
          <w:sz w:val="32"/>
          <w:szCs w:val="32"/>
        </w:rPr>
      </w:pPr>
      <w:r>
        <w:rPr>
          <w:rFonts w:ascii="Times New Roman" w:hAnsi="Times New Roman" w:eastAsia="方正仿宋_GBK"/>
          <w:sz w:val="32"/>
          <w:szCs w:val="32"/>
        </w:rPr>
        <w:t>各市、县（市、区）人民政府，省各委办厅局，省各直属单位：</w:t>
      </w:r>
    </w:p>
    <w:bookmarkEnd w:id="0"/>
    <w:p w14:paraId="20F4069E">
      <w:pPr>
        <w:adjustRightInd w:val="0"/>
        <w:snapToGrid w:val="0"/>
        <w:spacing w:after="0"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为加快推进铁路高质量发展，进一步完善现代化综合交通运输体系，更好发挥铁路对促进区域协调发展、建设现代化产业体系、服务构建新发展格局、推动高水平对外开放的作用，现提出如下意见。</w:t>
      </w:r>
    </w:p>
    <w:p w14:paraId="4CAE9CF6">
      <w:pPr>
        <w:pStyle w:val="2"/>
        <w:adjustRightInd w:val="0"/>
        <w:snapToGrid w:val="0"/>
        <w:spacing w:after="0"/>
        <w:rPr>
          <w:rFonts w:ascii="Times New Roman" w:hAnsi="Times New Roman"/>
        </w:rPr>
      </w:pPr>
      <w:r>
        <w:rPr>
          <w:rFonts w:ascii="Times New Roman" w:hAnsi="Times New Roman"/>
        </w:rPr>
        <w:t>一、总体要求</w:t>
      </w:r>
    </w:p>
    <w:p w14:paraId="61C860BB">
      <w:pPr>
        <w:spacing w:after="0" w:line="590" w:lineRule="exact"/>
        <w:ind w:firstLine="640" w:firstLineChars="200"/>
        <w:rPr>
          <w:rFonts w:ascii="方正仿宋_GBK" w:hAnsi="Times New Roman" w:eastAsia="方正仿宋_GBK"/>
          <w:sz w:val="32"/>
          <w:szCs w:val="32"/>
        </w:rPr>
      </w:pPr>
      <w:r>
        <w:rPr>
          <w:rFonts w:ascii="Times New Roman" w:hAnsi="Times New Roman" w:eastAsia="方正仿宋_GBK"/>
          <w:sz w:val="32"/>
          <w:szCs w:val="32"/>
        </w:rPr>
        <w:t>以习近平新时代中国特色社会主义思想为指导，深入贯彻党的二十大和二十届历次全会精神，认真落实习近平总书记对江苏工作重要讲话精神和关于交通强国、铁路工作的重要论述精神，完整准确全面贯彻新发展理念，坚持稳中求进工作总基调，坚持以人民为中心的发展思想，统筹发展和安全、做优增量和盘活存量，</w:t>
      </w:r>
      <w:r>
        <w:rPr>
          <w:rFonts w:ascii="Times New Roman" w:hAnsi="Times New Roman" w:eastAsia="方正仿宋_GBK"/>
          <w:sz w:val="32"/>
          <w:szCs w:val="32"/>
          <w:highlight w:val="none"/>
        </w:rPr>
        <w:t>坚持适度超前、不过度超前，</w:t>
      </w:r>
      <w:r>
        <w:rPr>
          <w:rFonts w:ascii="Times New Roman" w:hAnsi="Times New Roman" w:eastAsia="方正仿宋_GBK"/>
          <w:sz w:val="32"/>
          <w:szCs w:val="32"/>
        </w:rPr>
        <w:t>突出需求牵引、改革创新、完善机制，以</w:t>
      </w:r>
      <w:r>
        <w:rPr>
          <w:rFonts w:hint="eastAsia" w:ascii="方正仿宋_GBK" w:hAnsi="Times New Roman" w:eastAsia="方正仿宋_GBK"/>
          <w:sz w:val="32"/>
          <w:szCs w:val="32"/>
        </w:rPr>
        <w:t>“便捷高效、绿色智能、安全可靠、共享开放、保障有力”为目标，着力推进联网补网强链、运输服务升级和治理效能提升，更高水平建设“轨道上的江苏”，为谱写“强富美高”新江苏现代化建设新篇章提供有力支撑。</w:t>
      </w:r>
    </w:p>
    <w:p w14:paraId="5F33DE31">
      <w:pPr>
        <w:pStyle w:val="2"/>
        <w:spacing w:after="0"/>
        <w:rPr>
          <w:rFonts w:ascii="Times New Roman" w:hAnsi="Times New Roman"/>
        </w:rPr>
      </w:pPr>
      <w:r>
        <w:rPr>
          <w:rFonts w:ascii="Times New Roman" w:hAnsi="Times New Roman"/>
        </w:rPr>
        <w:t>二、坚持规划引领</w:t>
      </w:r>
    </w:p>
    <w:p w14:paraId="63DFEC18">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（一）深化规划编制。</w:t>
      </w:r>
      <w:r>
        <w:rPr>
          <w:rFonts w:ascii="Times New Roman" w:hAnsi="Times New Roman" w:eastAsia="方正仿宋_GBK"/>
          <w:sz w:val="32"/>
          <w:szCs w:val="32"/>
        </w:rPr>
        <w:t>综合考虑铁路与公路、水运、民航、低空和城市交通等关系，</w:t>
      </w:r>
      <w:r>
        <w:rPr>
          <w:rFonts w:ascii="Times New Roman" w:hAnsi="Times New Roman" w:eastAsia="方正仿宋_GBK"/>
          <w:sz w:val="32"/>
          <w:szCs w:val="32"/>
          <w:highlight w:val="none"/>
        </w:rPr>
        <w:t>加强与国土空间</w:t>
      </w:r>
      <w:r>
        <w:rPr>
          <w:rFonts w:hint="eastAsia" w:ascii="Times New Roman" w:hAnsi="Times New Roman" w:eastAsia="方正仿宋_GBK"/>
          <w:sz w:val="32"/>
          <w:szCs w:val="32"/>
          <w:highlight w:val="none"/>
        </w:rPr>
        <w:t>规划以及</w:t>
      </w:r>
      <w:r>
        <w:rPr>
          <w:rFonts w:ascii="Times New Roman" w:hAnsi="Times New Roman" w:eastAsia="方正仿宋_GBK"/>
          <w:sz w:val="32"/>
          <w:szCs w:val="32"/>
          <w:highlight w:val="none"/>
        </w:rPr>
        <w:t>生态环境保护、产业布局等规划的衔接，科学编制并形成分层分类、功能互补的铁路规划体系。提前开展路网意义重要、运输需求较大的铁路规划研究，积极争取纳入铁路中长期、五年发展等国家规划；省相关部门系统谋划城际铁路、市域（郊）铁路、铁路货场（物流基地）和专支线布局，指</w:t>
      </w:r>
      <w:r>
        <w:rPr>
          <w:rFonts w:ascii="Times New Roman" w:hAnsi="Times New Roman" w:eastAsia="方正仿宋_GBK"/>
          <w:sz w:val="32"/>
          <w:szCs w:val="32"/>
        </w:rPr>
        <w:t>导设区市做好铁路枢纽总图、综合交通枢纽</w:t>
      </w:r>
      <w:r>
        <w:rPr>
          <w:rFonts w:hint="eastAsia" w:ascii="Times New Roman" w:hAnsi="Times New Roman" w:eastAsia="方正仿宋_GBK"/>
          <w:sz w:val="32"/>
          <w:szCs w:val="32"/>
        </w:rPr>
        <w:t>及配套能力</w:t>
      </w:r>
      <w:r>
        <w:rPr>
          <w:rFonts w:ascii="Times New Roman" w:hAnsi="Times New Roman" w:eastAsia="方正仿宋_GBK"/>
          <w:sz w:val="32"/>
          <w:szCs w:val="32"/>
        </w:rPr>
        <w:t>规划研究。</w:t>
      </w:r>
    </w:p>
    <w:p w14:paraId="20713CF2">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（二）稳步推进规划实施。</w:t>
      </w:r>
      <w:r>
        <w:rPr>
          <w:rFonts w:ascii="Times New Roman" w:hAnsi="Times New Roman" w:eastAsia="方正仿宋_GBK"/>
          <w:sz w:val="32"/>
          <w:szCs w:val="32"/>
        </w:rPr>
        <w:t>积极做好铁路规划报批工作，</w:t>
      </w:r>
      <w:r>
        <w:rPr>
          <w:rFonts w:hint="eastAsia" w:ascii="Times New Roman" w:hAnsi="Times New Roman" w:eastAsia="方正仿宋_GBK"/>
          <w:sz w:val="32"/>
          <w:szCs w:val="32"/>
        </w:rPr>
        <w:t>规划建设项目</w:t>
      </w:r>
      <w:r>
        <w:rPr>
          <w:rFonts w:ascii="Times New Roman" w:hAnsi="Times New Roman" w:eastAsia="方正仿宋_GBK"/>
          <w:sz w:val="32"/>
          <w:szCs w:val="32"/>
        </w:rPr>
        <w:t>应达到预可行性研究深度，初步明确项目投资模式和资金来源。强化铁路规划对项目建设的指导约束，</w:t>
      </w:r>
      <w:r>
        <w:rPr>
          <w:rFonts w:hint="eastAsia" w:ascii="Times New Roman" w:hAnsi="Times New Roman" w:eastAsia="方正仿宋_GBK"/>
          <w:sz w:val="32"/>
          <w:szCs w:val="32"/>
        </w:rPr>
        <w:t>确需</w:t>
      </w:r>
      <w:r>
        <w:rPr>
          <w:rFonts w:ascii="Times New Roman" w:hAnsi="Times New Roman" w:eastAsia="方正仿宋_GBK"/>
          <w:sz w:val="32"/>
          <w:szCs w:val="32"/>
        </w:rPr>
        <w:t>对</w:t>
      </w:r>
      <w:r>
        <w:rPr>
          <w:rFonts w:hint="eastAsia" w:ascii="Times New Roman" w:hAnsi="Times New Roman" w:eastAsia="方正仿宋_GBK"/>
          <w:sz w:val="32"/>
          <w:szCs w:val="32"/>
        </w:rPr>
        <w:t>项目</w:t>
      </w:r>
      <w:r>
        <w:rPr>
          <w:rFonts w:ascii="Times New Roman" w:hAnsi="Times New Roman" w:eastAsia="方正仿宋_GBK"/>
          <w:sz w:val="32"/>
          <w:szCs w:val="32"/>
        </w:rPr>
        <w:t>功能定位、建设标准、线路走向等进行调整的，报省级主管部门</w:t>
      </w:r>
      <w:r>
        <w:rPr>
          <w:rFonts w:hint="eastAsia" w:ascii="Times New Roman" w:hAnsi="Times New Roman" w:eastAsia="方正仿宋_GBK"/>
          <w:sz w:val="32"/>
          <w:szCs w:val="32"/>
        </w:rPr>
        <w:t>研究</w:t>
      </w:r>
      <w:r>
        <w:rPr>
          <w:rFonts w:ascii="Times New Roman" w:hAnsi="Times New Roman" w:eastAsia="方正仿宋_GBK"/>
          <w:sz w:val="32"/>
          <w:szCs w:val="32"/>
        </w:rPr>
        <w:t>同意</w:t>
      </w:r>
      <w:r>
        <w:rPr>
          <w:rFonts w:hint="eastAsia" w:ascii="Times New Roman" w:hAnsi="Times New Roman" w:eastAsia="方正仿宋_GBK"/>
          <w:sz w:val="32"/>
          <w:szCs w:val="32"/>
        </w:rPr>
        <w:t>后按程序</w:t>
      </w:r>
      <w:r>
        <w:rPr>
          <w:rFonts w:ascii="Times New Roman" w:hAnsi="Times New Roman" w:eastAsia="方正仿宋_GBK"/>
          <w:sz w:val="32"/>
          <w:szCs w:val="32"/>
        </w:rPr>
        <w:t>报批调整。科学决策建设时机，既有干线铁路能力利用率不足80%的，原则上不得新建平行线路，新建城际铁路近期双向客流密度原则上不低于1500万人次/年。加强对规划实施情况的监测评估，确保规划有力、有序、有效实施。</w:t>
      </w:r>
    </w:p>
    <w:p w14:paraId="333BDCCB">
      <w:pPr>
        <w:pStyle w:val="2"/>
        <w:spacing w:after="0"/>
        <w:rPr>
          <w:rFonts w:ascii="Times New Roman" w:hAnsi="Times New Roman"/>
        </w:rPr>
      </w:pPr>
      <w:r>
        <w:rPr>
          <w:rFonts w:ascii="Times New Roman" w:hAnsi="Times New Roman"/>
        </w:rPr>
        <w:t>三、强化方案论证</w:t>
      </w:r>
    </w:p>
    <w:p w14:paraId="1A921929">
      <w:pPr>
        <w:widowControl/>
        <w:spacing w:after="0" w:line="590" w:lineRule="exact"/>
        <w:ind w:firstLine="643" w:firstLineChars="200"/>
        <w:rPr>
          <w:rFonts w:ascii="Times New Roman" w:hAnsi="Times New Roman" w:eastAsia="楷体"/>
          <w:sz w:val="32"/>
          <w:szCs w:val="32"/>
        </w:rPr>
      </w:pPr>
      <w:bookmarkStart w:id="1" w:name="_Hlk220076740"/>
      <w:r>
        <w:rPr>
          <w:rFonts w:hint="eastAsia" w:ascii="方正楷体_GBK" w:hAnsi="Times New Roman" w:eastAsia="方正楷体_GBK"/>
          <w:b/>
          <w:bCs/>
          <w:sz w:val="32"/>
          <w:szCs w:val="32"/>
        </w:rPr>
        <w:t>（三）合理确定标准。</w:t>
      </w:r>
      <w:r>
        <w:rPr>
          <w:rFonts w:hint="eastAsia" w:ascii="Times New Roman" w:hAnsi="Times New Roman" w:eastAsia="方正仿宋_GBK"/>
          <w:sz w:val="32"/>
          <w:szCs w:val="32"/>
        </w:rPr>
        <w:t>适时</w:t>
      </w:r>
      <w:r>
        <w:rPr>
          <w:rFonts w:ascii="Times New Roman" w:hAnsi="Times New Roman" w:eastAsia="方正仿宋_GBK"/>
          <w:sz w:val="32"/>
          <w:szCs w:val="32"/>
        </w:rPr>
        <w:t>开展项目前期工作，科学做好运输需求预测，严格论证项目功能定位，合理确定技术标准。规划建设贯通省会及特大城市、近期双向客流密度2500万人次/年以上、中长途客流比重在70%以上的高铁主通道线路，可采用时速350公里标准，其余高铁线路</w:t>
      </w:r>
      <w:r>
        <w:rPr>
          <w:rFonts w:hint="eastAsia" w:ascii="Times New Roman" w:hAnsi="Times New Roman" w:eastAsia="方正仿宋_GBK"/>
          <w:sz w:val="32"/>
          <w:szCs w:val="32"/>
        </w:rPr>
        <w:t>、</w:t>
      </w:r>
      <w:r>
        <w:rPr>
          <w:rFonts w:ascii="Times New Roman" w:hAnsi="Times New Roman" w:eastAsia="方正仿宋_GBK"/>
          <w:sz w:val="32"/>
          <w:szCs w:val="32"/>
        </w:rPr>
        <w:t>区域连接线原则</w:t>
      </w:r>
      <w:r>
        <w:rPr>
          <w:rFonts w:hint="eastAsia" w:ascii="Times New Roman" w:hAnsi="Times New Roman" w:eastAsia="方正仿宋_GBK"/>
          <w:sz w:val="32"/>
          <w:szCs w:val="32"/>
        </w:rPr>
        <w:t>上</w:t>
      </w:r>
      <w:r>
        <w:rPr>
          <w:rFonts w:ascii="Times New Roman" w:hAnsi="Times New Roman" w:eastAsia="方正仿宋_GBK"/>
          <w:sz w:val="32"/>
          <w:szCs w:val="32"/>
        </w:rPr>
        <w:t>采用时速250公里标准；规划建设城际铁路原则上采用时速200公里及以下标准，</w:t>
      </w:r>
      <w:r>
        <w:rPr>
          <w:rFonts w:hint="eastAsia" w:ascii="Times New Roman" w:hAnsi="Times New Roman" w:eastAsia="方正仿宋_GBK"/>
          <w:sz w:val="32"/>
          <w:szCs w:val="32"/>
        </w:rPr>
        <w:t>合理</w:t>
      </w:r>
      <w:r>
        <w:rPr>
          <w:rFonts w:ascii="Times New Roman" w:hAnsi="Times New Roman" w:eastAsia="方正仿宋_GBK"/>
          <w:sz w:val="32"/>
          <w:szCs w:val="32"/>
        </w:rPr>
        <w:t>统筹同一走廊内市域（郊）铁路的功能。对预留未来提速条件和发展空间的</w:t>
      </w:r>
      <w:r>
        <w:rPr>
          <w:rFonts w:hint="eastAsia" w:ascii="Times New Roman" w:hAnsi="Times New Roman" w:eastAsia="方正仿宋_GBK"/>
          <w:sz w:val="32"/>
          <w:szCs w:val="32"/>
        </w:rPr>
        <w:t>，应</w:t>
      </w:r>
      <w:r>
        <w:rPr>
          <w:rFonts w:ascii="Times New Roman" w:hAnsi="Times New Roman" w:eastAsia="方正仿宋_GBK"/>
          <w:sz w:val="32"/>
          <w:szCs w:val="32"/>
        </w:rPr>
        <w:t>开展深度论证并争取国家相关部门同意。严禁以新建城际铁路、市域（郊）铁路名义变相建设高速铁路、城市轨道交通项目。</w:t>
      </w:r>
    </w:p>
    <w:p w14:paraId="71DC0352">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bCs/>
          <w:sz w:val="32"/>
          <w:szCs w:val="32"/>
        </w:rPr>
        <w:t>（四）科学选线选址</w:t>
      </w:r>
      <w:r>
        <w:rPr>
          <w:rFonts w:hint="eastAsia" w:ascii="方正楷体_GBK" w:hAnsi="Times New Roman" w:eastAsia="方正楷体_GBK"/>
          <w:sz w:val="32"/>
          <w:szCs w:val="32"/>
        </w:rPr>
        <w:t>。</w:t>
      </w:r>
      <w:r>
        <w:rPr>
          <w:rFonts w:ascii="Times New Roman" w:hAnsi="Times New Roman" w:eastAsia="方正仿宋_GBK"/>
          <w:sz w:val="32"/>
          <w:szCs w:val="32"/>
          <w:highlight w:val="none"/>
        </w:rPr>
        <w:t>新建项目</w:t>
      </w:r>
      <w:r>
        <w:rPr>
          <w:rFonts w:hint="eastAsia" w:ascii="Times New Roman" w:hAnsi="Times New Roman" w:eastAsia="方正仿宋_GBK"/>
          <w:sz w:val="32"/>
          <w:szCs w:val="32"/>
          <w:highlight w:val="none"/>
        </w:rPr>
        <w:t>应依据国土空间规划开展</w:t>
      </w:r>
      <w:r>
        <w:rPr>
          <w:rFonts w:ascii="Times New Roman" w:hAnsi="Times New Roman" w:eastAsia="方正仿宋_GBK"/>
          <w:sz w:val="32"/>
          <w:szCs w:val="32"/>
          <w:highlight w:val="none"/>
        </w:rPr>
        <w:t>选</w:t>
      </w:r>
      <w:r>
        <w:rPr>
          <w:rFonts w:hint="eastAsia" w:ascii="方正仿宋_GBK" w:hAnsi="Times New Roman" w:eastAsia="方正仿宋_GBK"/>
          <w:sz w:val="32"/>
          <w:szCs w:val="32"/>
          <w:highlight w:val="none"/>
        </w:rPr>
        <w:t>址</w:t>
      </w:r>
      <w:r>
        <w:rPr>
          <w:rFonts w:ascii="Times New Roman" w:hAnsi="Times New Roman" w:eastAsia="方正仿宋_GBK"/>
          <w:sz w:val="32"/>
          <w:szCs w:val="32"/>
          <w:highlight w:val="none"/>
        </w:rPr>
        <w:t>选线</w:t>
      </w:r>
      <w:r>
        <w:rPr>
          <w:rFonts w:hint="eastAsia" w:ascii="Times New Roman" w:hAnsi="Times New Roman" w:eastAsia="方正仿宋_GBK"/>
          <w:sz w:val="32"/>
          <w:szCs w:val="32"/>
          <w:highlight w:val="none"/>
        </w:rPr>
        <w:t>，并符合</w:t>
      </w:r>
      <w:r>
        <w:rPr>
          <w:rFonts w:hint="eastAsia" w:ascii="方正仿宋_GBK" w:hAnsi="Times New Roman" w:eastAsia="方正仿宋_GBK"/>
          <w:sz w:val="32"/>
          <w:szCs w:val="32"/>
          <w:highlight w:val="none"/>
        </w:rPr>
        <w:t>生态环境分区管控方案，落实生态</w:t>
      </w:r>
      <w:r>
        <w:rPr>
          <w:rFonts w:ascii="Times New Roman" w:hAnsi="Times New Roman" w:eastAsia="方正仿宋_GBK"/>
          <w:sz w:val="32"/>
          <w:szCs w:val="32"/>
          <w:highlight w:val="none"/>
        </w:rPr>
        <w:t>保护红线、</w:t>
      </w:r>
      <w:r>
        <w:rPr>
          <w:rFonts w:hint="eastAsia" w:ascii="Times New Roman" w:hAnsi="Times New Roman" w:eastAsia="方正仿宋_GBK"/>
          <w:sz w:val="32"/>
          <w:szCs w:val="32"/>
          <w:highlight w:val="none"/>
        </w:rPr>
        <w:t>生态空间管控区域、</w:t>
      </w:r>
      <w:r>
        <w:rPr>
          <w:rFonts w:ascii="Times New Roman" w:hAnsi="Times New Roman" w:eastAsia="方正仿宋_GBK"/>
          <w:sz w:val="32"/>
          <w:szCs w:val="32"/>
          <w:highlight w:val="none"/>
        </w:rPr>
        <w:t>永久基本农田、自然保护地</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Ⅰ</w:t>
      </w:r>
      <w:r>
        <w:rPr>
          <w:rFonts w:hint="eastAsia" w:ascii="Times New Roman" w:hAnsi="Times New Roman" w:eastAsia="方正仿宋_GBK"/>
          <w:sz w:val="32"/>
          <w:szCs w:val="32"/>
          <w:highlight w:val="none"/>
        </w:rPr>
        <w:t>级保护林地</w:t>
      </w:r>
      <w:r>
        <w:rPr>
          <w:rFonts w:ascii="Times New Roman" w:hAnsi="Times New Roman" w:eastAsia="方正仿宋_GBK"/>
          <w:sz w:val="32"/>
          <w:szCs w:val="32"/>
          <w:highlight w:val="none"/>
        </w:rPr>
        <w:t>等底线管控要求，依法依规合理布局和集约节约用地</w:t>
      </w:r>
      <w:r>
        <w:rPr>
          <w:rFonts w:hint="eastAsia" w:ascii="Times New Roman" w:hAnsi="Times New Roman" w:eastAsia="方正仿宋_GBK"/>
          <w:sz w:val="32"/>
          <w:szCs w:val="32"/>
          <w:highlight w:val="none"/>
        </w:rPr>
        <w:t>用林</w:t>
      </w:r>
      <w:r>
        <w:rPr>
          <w:rFonts w:ascii="Times New Roman" w:hAnsi="Times New Roman" w:eastAsia="方正仿宋_GBK"/>
          <w:sz w:val="32"/>
          <w:szCs w:val="32"/>
          <w:highlight w:val="none"/>
        </w:rPr>
        <w:t>，严格</w:t>
      </w:r>
      <w:r>
        <w:rPr>
          <w:rFonts w:hint="eastAsia" w:ascii="Times New Roman" w:hAnsi="Times New Roman" w:eastAsia="方正仿宋_GBK"/>
          <w:sz w:val="32"/>
          <w:szCs w:val="32"/>
          <w:highlight w:val="none"/>
        </w:rPr>
        <w:t>生态</w:t>
      </w:r>
      <w:r>
        <w:rPr>
          <w:rFonts w:ascii="Times New Roman" w:hAnsi="Times New Roman" w:eastAsia="方正仿宋_GBK"/>
          <w:sz w:val="32"/>
          <w:szCs w:val="32"/>
          <w:highlight w:val="none"/>
        </w:rPr>
        <w:t>环境影响评价，尽量</w:t>
      </w:r>
      <w:r>
        <w:rPr>
          <w:rFonts w:ascii="Times New Roman" w:hAnsi="Times New Roman" w:eastAsia="方正仿宋_GBK"/>
          <w:sz w:val="32"/>
          <w:szCs w:val="32"/>
        </w:rPr>
        <w:t>避让军事管控区域。统筹考虑城镇布局、客流特点、建设条件等，科学布局车站站点，新建铁路客站原则上应布设在中心城区或靠近城市建成区。控制城市高铁（普铁）客站数量，充分论证多条线路合并设站的可行性，新建铁路应优先考虑引入既有站，县级行政区增设客站要严格论证，原则上不超过1个。</w:t>
      </w:r>
    </w:p>
    <w:p w14:paraId="2078614B">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bCs/>
          <w:sz w:val="32"/>
          <w:szCs w:val="32"/>
        </w:rPr>
        <w:t>（五）优化客站设计。</w:t>
      </w:r>
      <w:r>
        <w:rPr>
          <w:rFonts w:ascii="Times New Roman" w:hAnsi="Times New Roman" w:eastAsia="方正仿宋_GBK"/>
          <w:sz w:val="32"/>
          <w:szCs w:val="32"/>
        </w:rPr>
        <w:t>按照经济适用、集约高效、绿色低碳、安全便捷的原则推进铁路客站规划建设。</w:t>
      </w:r>
      <w:r>
        <w:rPr>
          <w:rFonts w:hint="eastAsia" w:ascii="Times New Roman" w:hAnsi="Times New Roman" w:eastAsia="方正仿宋_GBK"/>
          <w:sz w:val="32"/>
          <w:szCs w:val="32"/>
        </w:rPr>
        <w:t>充分考虑本地区自然环境、历史文化、人文风情等，推动铁路客站建筑风格与地域特点有效融合。</w:t>
      </w:r>
      <w:r>
        <w:rPr>
          <w:rFonts w:ascii="Times New Roman" w:hAnsi="Times New Roman" w:eastAsia="方正仿宋_GBK"/>
          <w:sz w:val="32"/>
          <w:szCs w:val="32"/>
        </w:rPr>
        <w:t>严格控制客站规模，严禁不顾实际扩大站房面积、擅自变更已批准的设计方案</w:t>
      </w:r>
      <w:r>
        <w:rPr>
          <w:rFonts w:hint="eastAsia" w:ascii="Times New Roman" w:hAnsi="Times New Roman" w:eastAsia="方正仿宋_GBK"/>
          <w:sz w:val="32"/>
          <w:szCs w:val="32"/>
        </w:rPr>
        <w:t>，严禁超标准装修、违规设置贵宾室</w:t>
      </w:r>
      <w:r>
        <w:rPr>
          <w:rFonts w:ascii="Times New Roman" w:hAnsi="Times New Roman" w:eastAsia="方正仿宋_GBK"/>
          <w:sz w:val="32"/>
          <w:szCs w:val="32"/>
        </w:rPr>
        <w:t>。加强铁路客站与其他运输方式的高效衔接融合，促进各站房主体建筑贴临建设、换乘功能空间直接连通，新建枢纽换乘距离宜在300米以内。统筹客运流线与商业设施布局，支持</w:t>
      </w:r>
      <w:r>
        <w:rPr>
          <w:rFonts w:hint="eastAsia" w:ascii="方正仿宋_GBK" w:hAnsi="Times New Roman" w:eastAsia="方正仿宋_GBK"/>
          <w:sz w:val="32"/>
          <w:szCs w:val="32"/>
        </w:rPr>
        <w:t>“苏品苏货”</w:t>
      </w:r>
      <w:r>
        <w:rPr>
          <w:rFonts w:ascii="Times New Roman" w:hAnsi="Times New Roman" w:eastAsia="方正仿宋_GBK"/>
          <w:sz w:val="32"/>
          <w:szCs w:val="32"/>
        </w:rPr>
        <w:t>集中展示销售，打造展现江苏经济实力和文化魅力的重要窗口。建立完善协同机制，推动片区规划、商业开发、站区综合管理等环节高效衔接。</w:t>
      </w:r>
    </w:p>
    <w:p w14:paraId="45394181">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bCs/>
          <w:sz w:val="32"/>
          <w:szCs w:val="32"/>
        </w:rPr>
        <w:t>（六）有效控制投资</w:t>
      </w:r>
      <w:r>
        <w:rPr>
          <w:rFonts w:hint="eastAsia" w:ascii="方正楷体_GBK" w:hAnsi="Times New Roman" w:eastAsia="方正楷体_GBK"/>
          <w:sz w:val="32"/>
          <w:szCs w:val="32"/>
        </w:rPr>
        <w:t>。</w:t>
      </w:r>
      <w:r>
        <w:rPr>
          <w:rFonts w:ascii="Times New Roman" w:hAnsi="Times New Roman" w:eastAsia="方正仿宋_GBK"/>
          <w:sz w:val="32"/>
          <w:szCs w:val="32"/>
        </w:rPr>
        <w:t>坚持规划、设计、建设、运营</w:t>
      </w:r>
      <w:r>
        <w:rPr>
          <w:rFonts w:hint="eastAsia" w:ascii="Times New Roman" w:hAnsi="Times New Roman" w:eastAsia="方正仿宋_GBK"/>
          <w:sz w:val="32"/>
          <w:szCs w:val="32"/>
        </w:rPr>
        <w:t>全生命周期成本</w:t>
      </w:r>
      <w:r>
        <w:rPr>
          <w:rFonts w:ascii="Times New Roman" w:hAnsi="Times New Roman" w:eastAsia="方正仿宋_GBK"/>
          <w:sz w:val="32"/>
          <w:szCs w:val="32"/>
        </w:rPr>
        <w:t>管控。</w:t>
      </w:r>
      <w:r>
        <w:rPr>
          <w:rFonts w:hint="eastAsia" w:ascii="Times New Roman" w:hAnsi="Times New Roman" w:eastAsia="方正仿宋_GBK"/>
          <w:sz w:val="32"/>
          <w:szCs w:val="32"/>
        </w:rPr>
        <w:t>做深做细项目前期工作</w:t>
      </w:r>
      <w:r>
        <w:rPr>
          <w:rFonts w:ascii="Times New Roman" w:hAnsi="Times New Roman" w:eastAsia="方正仿宋_GBK"/>
          <w:sz w:val="32"/>
          <w:szCs w:val="32"/>
        </w:rPr>
        <w:t>，</w:t>
      </w:r>
      <w:r>
        <w:rPr>
          <w:rFonts w:hint="eastAsia" w:ascii="Times New Roman" w:hAnsi="Times New Roman" w:eastAsia="方正仿宋_GBK"/>
          <w:sz w:val="32"/>
          <w:szCs w:val="32"/>
        </w:rPr>
        <w:t>强化资源配给，提升项目可行性和运营可持续性。</w:t>
      </w:r>
      <w:r>
        <w:rPr>
          <w:rFonts w:ascii="Times New Roman" w:hAnsi="Times New Roman" w:eastAsia="方正仿宋_GBK"/>
          <w:sz w:val="32"/>
          <w:szCs w:val="32"/>
        </w:rPr>
        <w:t>充分开展工程技术经济比较，合理确定建设标准</w:t>
      </w:r>
      <w:r>
        <w:rPr>
          <w:rFonts w:hint="eastAsia" w:ascii="Times New Roman" w:hAnsi="Times New Roman" w:eastAsia="方正仿宋_GBK"/>
          <w:sz w:val="32"/>
          <w:szCs w:val="32"/>
        </w:rPr>
        <w:t>和规模，从严控制</w:t>
      </w:r>
      <w:r>
        <w:rPr>
          <w:rFonts w:ascii="Times New Roman" w:hAnsi="Times New Roman" w:eastAsia="方正仿宋_GBK"/>
          <w:sz w:val="32"/>
          <w:szCs w:val="32"/>
        </w:rPr>
        <w:t>变更设计</w:t>
      </w:r>
      <w:r>
        <w:rPr>
          <w:rFonts w:ascii="Times New Roman" w:hAnsi="Times New Roman" w:eastAsia="方正仿宋_GBK"/>
          <w:snapToGrid w:val="0"/>
          <w:kern w:val="0"/>
          <w:sz w:val="32"/>
          <w:szCs w:val="20"/>
        </w:rPr>
        <w:t>。</w:t>
      </w:r>
      <w:r>
        <w:rPr>
          <w:rFonts w:ascii="Times New Roman" w:hAnsi="Times New Roman" w:eastAsia="方正仿宋_GBK"/>
          <w:sz w:val="32"/>
          <w:szCs w:val="32"/>
        </w:rPr>
        <w:t>新建铁路项目原则上采用地上敷设方式，进出枢纽、征拆困难、噪声振动大等局部路段可研究采用地下敷设方式。</w:t>
      </w:r>
      <w:r>
        <w:rPr>
          <w:rFonts w:hint="eastAsia" w:ascii="Times New Roman" w:hAnsi="Times New Roman" w:eastAsia="方正仿宋_GBK"/>
          <w:sz w:val="32"/>
          <w:szCs w:val="32"/>
        </w:rPr>
        <w:t>立足节约综合投资，各地</w:t>
      </w:r>
      <w:r>
        <w:rPr>
          <w:rFonts w:ascii="Times New Roman" w:hAnsi="Times New Roman" w:eastAsia="方正仿宋_GBK"/>
          <w:sz w:val="32"/>
          <w:szCs w:val="32"/>
        </w:rPr>
        <w:t>要进一步推动车站集疏运体系及电力、市政等设施与铁路工程同步设计、同步建设。</w:t>
      </w:r>
    </w:p>
    <w:bookmarkEnd w:id="1"/>
    <w:p w14:paraId="4092C1BD">
      <w:pPr>
        <w:pStyle w:val="2"/>
        <w:spacing w:after="0"/>
        <w:rPr>
          <w:rFonts w:ascii="Times New Roman" w:hAnsi="Times New Roman"/>
        </w:rPr>
      </w:pPr>
      <w:r>
        <w:rPr>
          <w:rFonts w:ascii="Times New Roman" w:hAnsi="Times New Roman"/>
        </w:rPr>
        <w:t>四、保障项目建设</w:t>
      </w:r>
    </w:p>
    <w:p w14:paraId="591F3B43">
      <w:pPr>
        <w:widowControl/>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（七）强化前期工作组织。</w:t>
      </w:r>
      <w:r>
        <w:rPr>
          <w:rFonts w:hint="eastAsia" w:ascii="Times New Roman" w:hAnsi="Times New Roman" w:eastAsia="方正仿宋_GBK"/>
          <w:sz w:val="32"/>
          <w:szCs w:val="32"/>
        </w:rPr>
        <w:t>统筹推进铁路项目前期工作</w:t>
      </w:r>
      <w:r>
        <w:rPr>
          <w:rFonts w:ascii="Times New Roman" w:hAnsi="Times New Roman" w:eastAsia="方正仿宋_GBK"/>
          <w:sz w:val="32"/>
          <w:szCs w:val="32"/>
        </w:rPr>
        <w:t>，干线铁路</w:t>
      </w:r>
      <w:r>
        <w:rPr>
          <w:rFonts w:hint="eastAsia" w:ascii="Times New Roman" w:hAnsi="Times New Roman" w:eastAsia="方正仿宋_GBK"/>
          <w:sz w:val="32"/>
          <w:szCs w:val="32"/>
        </w:rPr>
        <w:t>和</w:t>
      </w:r>
      <w:r>
        <w:rPr>
          <w:rFonts w:ascii="Times New Roman" w:hAnsi="Times New Roman" w:eastAsia="方正仿宋_GBK"/>
          <w:sz w:val="32"/>
          <w:szCs w:val="32"/>
        </w:rPr>
        <w:t>城际铁路项目由省牵头、沿线设区市配合</w:t>
      </w:r>
      <w:r>
        <w:rPr>
          <w:rFonts w:hint="eastAsia" w:ascii="Times New Roman" w:hAnsi="Times New Roman" w:eastAsia="方正仿宋_GBK"/>
          <w:sz w:val="32"/>
          <w:szCs w:val="32"/>
        </w:rPr>
        <w:t>，</w:t>
      </w:r>
      <w:r>
        <w:rPr>
          <w:rFonts w:ascii="Times New Roman" w:hAnsi="Times New Roman" w:eastAsia="方正仿宋_GBK"/>
          <w:sz w:val="32"/>
          <w:szCs w:val="32"/>
        </w:rPr>
        <w:t>市域（郊）铁路项目</w:t>
      </w:r>
      <w:r>
        <w:rPr>
          <w:rFonts w:hint="eastAsia" w:ascii="Times New Roman" w:hAnsi="Times New Roman" w:eastAsia="方正仿宋_GBK"/>
          <w:sz w:val="32"/>
          <w:szCs w:val="32"/>
        </w:rPr>
        <w:t>由</w:t>
      </w:r>
      <w:r>
        <w:rPr>
          <w:rFonts w:ascii="Times New Roman" w:hAnsi="Times New Roman" w:eastAsia="方正仿宋_GBK"/>
          <w:sz w:val="32"/>
          <w:szCs w:val="32"/>
        </w:rPr>
        <w:t>省级加强指导协调</w:t>
      </w:r>
      <w:r>
        <w:rPr>
          <w:rFonts w:hint="eastAsia" w:ascii="Times New Roman" w:hAnsi="Times New Roman" w:eastAsia="方正仿宋_GBK"/>
          <w:sz w:val="32"/>
          <w:szCs w:val="32"/>
        </w:rPr>
        <w:t>、</w:t>
      </w:r>
      <w:r>
        <w:rPr>
          <w:rFonts w:ascii="Times New Roman" w:hAnsi="Times New Roman" w:eastAsia="方正仿宋_GBK"/>
          <w:sz w:val="32"/>
          <w:szCs w:val="32"/>
        </w:rPr>
        <w:t>所在设区市具体</w:t>
      </w:r>
      <w:r>
        <w:rPr>
          <w:rFonts w:hint="eastAsia" w:ascii="Times New Roman" w:hAnsi="Times New Roman" w:eastAsia="方正仿宋_GBK"/>
          <w:sz w:val="32"/>
          <w:szCs w:val="32"/>
        </w:rPr>
        <w:t>负责</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省有关单位提前介入并指导用地用林、环境影响评价</w:t>
      </w:r>
      <w:r>
        <w:rPr>
          <w:rFonts w:hint="eastAsia" w:ascii="Times New Roman" w:hAnsi="Times New Roman" w:eastAsia="方正仿宋_GBK"/>
          <w:sz w:val="32"/>
          <w:szCs w:val="32"/>
          <w:highlight w:val="none"/>
        </w:rPr>
        <w:t>、防洪影响评价、文物保护</w:t>
      </w:r>
      <w:r>
        <w:rPr>
          <w:rFonts w:ascii="Times New Roman" w:hAnsi="Times New Roman" w:eastAsia="方正仿宋_GBK"/>
          <w:sz w:val="32"/>
          <w:szCs w:val="32"/>
          <w:highlight w:val="none"/>
        </w:rPr>
        <w:t>等专题报批工作。</w:t>
      </w:r>
      <w:r>
        <w:rPr>
          <w:rFonts w:hint="eastAsia" w:ascii="Times New Roman" w:hAnsi="Times New Roman" w:eastAsia="方正仿宋_GBK"/>
          <w:sz w:val="32"/>
          <w:szCs w:val="32"/>
          <w:highlight w:val="none"/>
        </w:rPr>
        <w:t>支持省市达</w:t>
      </w:r>
      <w:r>
        <w:rPr>
          <w:rFonts w:hint="eastAsia" w:ascii="Times New Roman" w:hAnsi="Times New Roman" w:eastAsia="方正仿宋_GBK"/>
          <w:sz w:val="32"/>
          <w:szCs w:val="32"/>
        </w:rPr>
        <w:t>成共识需加快推进的项目</w:t>
      </w:r>
      <w:r>
        <w:rPr>
          <w:rFonts w:ascii="Times New Roman" w:hAnsi="Times New Roman" w:eastAsia="方正仿宋_GBK"/>
          <w:sz w:val="32"/>
          <w:szCs w:val="32"/>
        </w:rPr>
        <w:t>列入全省交通重大项目三年滚动计划，鼓励一体化推进可行性研究和勘察设计等前期工作。</w:t>
      </w:r>
    </w:p>
    <w:p w14:paraId="1E315DBF">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（八）完善政府出资机制。</w:t>
      </w:r>
      <w:r>
        <w:rPr>
          <w:rFonts w:ascii="Times New Roman" w:hAnsi="Times New Roman" w:eastAsia="方正仿宋_GBK"/>
          <w:sz w:val="32"/>
          <w:szCs w:val="32"/>
        </w:rPr>
        <w:t>加强技术经济论证和投资效益分析，合理确定项目资本金比例，原则上不低于50%。新建干线铁路</w:t>
      </w:r>
      <w:r>
        <w:rPr>
          <w:rFonts w:hint="eastAsia" w:ascii="Times New Roman" w:hAnsi="Times New Roman" w:eastAsia="方正仿宋_GBK"/>
          <w:sz w:val="32"/>
          <w:szCs w:val="32"/>
        </w:rPr>
        <w:t>（含区域连接线）</w:t>
      </w:r>
      <w:r>
        <w:rPr>
          <w:rFonts w:ascii="Times New Roman" w:hAnsi="Times New Roman" w:eastAsia="方正仿宋_GBK"/>
          <w:sz w:val="32"/>
          <w:szCs w:val="32"/>
        </w:rPr>
        <w:t>，省内资本金的省市出资比例为：苏南地区</w:t>
      </w:r>
      <w:r>
        <w:rPr>
          <w:rFonts w:ascii="Times New Roman" w:hAnsi="Times New Roman" w:eastAsia="方正仿宋_GBK"/>
          <w:sz w:val="32"/>
          <w:szCs w:val="32"/>
          <w:lang w:val="en"/>
        </w:rPr>
        <w:t>5:5，苏中地区</w:t>
      </w:r>
      <w:r>
        <w:rPr>
          <w:rFonts w:ascii="Times New Roman" w:hAnsi="Times New Roman" w:eastAsia="方正仿宋_GBK"/>
          <w:sz w:val="32"/>
          <w:szCs w:val="32"/>
        </w:rPr>
        <w:t>6</w:t>
      </w:r>
      <w:r>
        <w:rPr>
          <w:rFonts w:ascii="Times New Roman" w:hAnsi="Times New Roman" w:eastAsia="方正仿宋_GBK"/>
          <w:sz w:val="32"/>
          <w:szCs w:val="32"/>
          <w:lang w:val="en"/>
        </w:rPr>
        <w:t>:</w:t>
      </w:r>
      <w:r>
        <w:rPr>
          <w:rFonts w:ascii="Times New Roman" w:hAnsi="Times New Roman" w:eastAsia="方正仿宋_GBK"/>
          <w:sz w:val="32"/>
          <w:szCs w:val="32"/>
        </w:rPr>
        <w:t>4</w:t>
      </w:r>
      <w:r>
        <w:rPr>
          <w:rFonts w:ascii="Times New Roman" w:hAnsi="Times New Roman" w:eastAsia="方正仿宋_GBK"/>
          <w:sz w:val="32"/>
          <w:szCs w:val="32"/>
          <w:lang w:val="en"/>
        </w:rPr>
        <w:t>，苏北地区</w:t>
      </w:r>
      <w:r>
        <w:rPr>
          <w:rFonts w:ascii="Times New Roman" w:hAnsi="Times New Roman" w:eastAsia="方正仿宋_GBK"/>
          <w:sz w:val="32"/>
          <w:szCs w:val="32"/>
        </w:rPr>
        <w:t>7</w:t>
      </w:r>
      <w:r>
        <w:rPr>
          <w:rFonts w:ascii="Times New Roman" w:hAnsi="Times New Roman" w:eastAsia="方正仿宋_GBK"/>
          <w:sz w:val="32"/>
          <w:szCs w:val="32"/>
          <w:lang w:val="en"/>
        </w:rPr>
        <w:t>:</w:t>
      </w:r>
      <w:r>
        <w:rPr>
          <w:rFonts w:ascii="Times New Roman" w:hAnsi="Times New Roman" w:eastAsia="方正仿宋_GBK"/>
          <w:sz w:val="32"/>
          <w:szCs w:val="32"/>
        </w:rPr>
        <w:t>3</w:t>
      </w:r>
      <w:r>
        <w:rPr>
          <w:rFonts w:hint="eastAsia" w:ascii="Times New Roman" w:hAnsi="Times New Roman" w:eastAsia="方正仿宋_GBK"/>
          <w:sz w:val="32"/>
          <w:szCs w:val="32"/>
        </w:rPr>
        <w:t>；</w:t>
      </w:r>
      <w:r>
        <w:rPr>
          <w:rFonts w:ascii="Times New Roman" w:hAnsi="Times New Roman" w:eastAsia="方正仿宋_GBK"/>
          <w:sz w:val="32"/>
          <w:szCs w:val="32"/>
        </w:rPr>
        <w:t>新建城际铁路项目以所在设区市出资为主，省级原则上按资本金的30%出资</w:t>
      </w:r>
      <w:r>
        <w:rPr>
          <w:rFonts w:hint="eastAsia" w:ascii="Times New Roman" w:hAnsi="Times New Roman" w:eastAsia="方正仿宋_GBK"/>
          <w:sz w:val="32"/>
          <w:szCs w:val="32"/>
        </w:rPr>
        <w:t>。市域（郊）铁路项目，由所在设区市和县（市、区）负责；</w:t>
      </w:r>
      <w:r>
        <w:rPr>
          <w:rFonts w:ascii="Times New Roman" w:hAnsi="Times New Roman" w:eastAsia="方正仿宋_GBK"/>
          <w:sz w:val="32"/>
          <w:szCs w:val="32"/>
        </w:rPr>
        <w:t>纳入国家或省级规划且具有公共属性的铁路</w:t>
      </w:r>
      <w:r>
        <w:rPr>
          <w:rFonts w:hint="eastAsia" w:ascii="Times New Roman" w:hAnsi="Times New Roman" w:eastAsia="方正仿宋_GBK"/>
          <w:sz w:val="32"/>
          <w:szCs w:val="32"/>
        </w:rPr>
        <w:t>专（支）线项目，</w:t>
      </w:r>
      <w:r>
        <w:rPr>
          <w:rFonts w:ascii="Times New Roman" w:hAnsi="Times New Roman" w:eastAsia="方正仿宋_GBK"/>
          <w:sz w:val="32"/>
          <w:szCs w:val="32"/>
        </w:rPr>
        <w:t>省级原则上按照总资本金扣除征地拆迁费用后的30%</w:t>
      </w:r>
      <w:r>
        <w:rPr>
          <w:rFonts w:hint="eastAsia" w:ascii="Times New Roman" w:hAnsi="Times New Roman" w:eastAsia="方正仿宋_GBK"/>
          <w:sz w:val="32"/>
          <w:szCs w:val="32"/>
        </w:rPr>
        <w:t>出资。</w:t>
      </w:r>
      <w:r>
        <w:rPr>
          <w:rFonts w:ascii="Times New Roman" w:hAnsi="Times New Roman" w:eastAsia="方正仿宋_GBK"/>
          <w:sz w:val="32"/>
          <w:szCs w:val="32"/>
        </w:rPr>
        <w:t>改（扩）建项目资本金原则上由项目公司承担，项目公司投资能力不足时，</w:t>
      </w:r>
      <w:r>
        <w:rPr>
          <w:rFonts w:hint="eastAsia" w:ascii="Times New Roman" w:hAnsi="Times New Roman" w:eastAsia="方正仿宋_GBK"/>
          <w:sz w:val="32"/>
          <w:szCs w:val="32"/>
        </w:rPr>
        <w:t>“一事一议”确定出资方式</w:t>
      </w:r>
      <w:r>
        <w:rPr>
          <w:rFonts w:ascii="Times New Roman" w:hAnsi="Times New Roman" w:eastAsia="方正仿宋_GBK"/>
          <w:sz w:val="32"/>
          <w:szCs w:val="32"/>
        </w:rPr>
        <w:t>。加强联络线</w:t>
      </w:r>
      <w:r>
        <w:rPr>
          <w:rFonts w:hint="eastAsia" w:ascii="Times New Roman" w:hAnsi="Times New Roman" w:eastAsia="方正仿宋_GBK"/>
          <w:sz w:val="32"/>
          <w:szCs w:val="32"/>
        </w:rPr>
        <w:t>、</w:t>
      </w:r>
      <w:r>
        <w:rPr>
          <w:rFonts w:ascii="Times New Roman" w:hAnsi="Times New Roman" w:eastAsia="方正仿宋_GBK"/>
          <w:sz w:val="32"/>
          <w:szCs w:val="32"/>
        </w:rPr>
        <w:t>动车所（存车场）</w:t>
      </w:r>
      <w:r>
        <w:rPr>
          <w:rFonts w:hint="eastAsia" w:ascii="Times New Roman" w:hAnsi="Times New Roman" w:eastAsia="方正仿宋_GBK"/>
          <w:sz w:val="32"/>
          <w:szCs w:val="32"/>
        </w:rPr>
        <w:t>、货场设置的研究论证和</w:t>
      </w:r>
      <w:r>
        <w:rPr>
          <w:rFonts w:ascii="Times New Roman" w:hAnsi="Times New Roman" w:eastAsia="方正仿宋_GBK"/>
          <w:sz w:val="32"/>
          <w:szCs w:val="32"/>
        </w:rPr>
        <w:t>省级统筹，</w:t>
      </w:r>
      <w:r>
        <w:rPr>
          <w:rFonts w:hint="eastAsia" w:ascii="Times New Roman" w:hAnsi="Times New Roman" w:eastAsia="方正仿宋_GBK"/>
          <w:sz w:val="32"/>
          <w:szCs w:val="32"/>
        </w:rPr>
        <w:t>按照“谁主张、谁出资”的原则落实</w:t>
      </w:r>
      <w:r>
        <w:rPr>
          <w:rFonts w:ascii="Times New Roman" w:hAnsi="Times New Roman" w:eastAsia="方正仿宋_GBK"/>
          <w:sz w:val="32"/>
          <w:szCs w:val="32"/>
        </w:rPr>
        <w:t>。</w:t>
      </w:r>
    </w:p>
    <w:p w14:paraId="66E62B25">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（九）落实资金筹措解缴。</w:t>
      </w:r>
      <w:r>
        <w:rPr>
          <w:rFonts w:ascii="Times New Roman" w:hAnsi="Times New Roman" w:eastAsia="方正仿宋_GBK"/>
          <w:sz w:val="32"/>
          <w:szCs w:val="32"/>
        </w:rPr>
        <w:t>根据国家有关单位和省投资主管部门下达的年度投资计划，省铁路办负责制定铁路投资分解及出资计划，按项目做好省级、市级资本金的专户汇缴工作；省、市铁路项目出资人代表</w:t>
      </w:r>
      <w:r>
        <w:rPr>
          <w:rFonts w:hint="eastAsia" w:ascii="Times New Roman" w:hAnsi="Times New Roman" w:eastAsia="方正仿宋_GBK"/>
          <w:sz w:val="32"/>
          <w:szCs w:val="32"/>
        </w:rPr>
        <w:t>及时筹措</w:t>
      </w:r>
      <w:r>
        <w:rPr>
          <w:rFonts w:ascii="Times New Roman" w:hAnsi="Times New Roman" w:eastAsia="方正仿宋_GBK"/>
          <w:sz w:val="32"/>
          <w:szCs w:val="32"/>
        </w:rPr>
        <w:t>解缴</w:t>
      </w:r>
      <w:r>
        <w:rPr>
          <w:rFonts w:hint="eastAsia" w:ascii="Times New Roman" w:hAnsi="Times New Roman" w:eastAsia="方正仿宋_GBK"/>
          <w:sz w:val="32"/>
          <w:szCs w:val="32"/>
        </w:rPr>
        <w:t>资本金</w:t>
      </w:r>
      <w:r>
        <w:rPr>
          <w:rFonts w:ascii="Times New Roman" w:hAnsi="Times New Roman" w:eastAsia="方正仿宋_GBK"/>
          <w:sz w:val="32"/>
          <w:szCs w:val="32"/>
        </w:rPr>
        <w:t>。地方政府承诺特定事项的出资，</w:t>
      </w:r>
      <w:r>
        <w:rPr>
          <w:rFonts w:hint="eastAsia" w:ascii="Times New Roman" w:hAnsi="Times New Roman" w:eastAsia="方正仿宋_GBK"/>
          <w:sz w:val="32"/>
          <w:szCs w:val="32"/>
        </w:rPr>
        <w:t>按出资协议</w:t>
      </w:r>
      <w:r>
        <w:rPr>
          <w:rFonts w:ascii="Times New Roman" w:hAnsi="Times New Roman" w:eastAsia="方正仿宋_GBK"/>
          <w:sz w:val="32"/>
          <w:szCs w:val="32"/>
        </w:rPr>
        <w:t>解缴</w:t>
      </w:r>
      <w:r>
        <w:rPr>
          <w:rFonts w:hint="eastAsia" w:ascii="Times New Roman" w:hAnsi="Times New Roman" w:eastAsia="方正仿宋_GBK"/>
          <w:sz w:val="32"/>
          <w:szCs w:val="32"/>
        </w:rPr>
        <w:t>到位</w:t>
      </w:r>
      <w:r>
        <w:rPr>
          <w:rFonts w:ascii="Times New Roman" w:hAnsi="Times New Roman" w:eastAsia="方正仿宋_GBK"/>
          <w:sz w:val="32"/>
          <w:szCs w:val="32"/>
        </w:rPr>
        <w:t>。</w:t>
      </w:r>
      <w:bookmarkStart w:id="2" w:name="OLE_LINK10"/>
      <w:r>
        <w:rPr>
          <w:rFonts w:ascii="Times New Roman" w:hAnsi="Times New Roman" w:eastAsia="方正仿宋_GBK"/>
          <w:sz w:val="32"/>
          <w:szCs w:val="32"/>
        </w:rPr>
        <w:t>城际铁路项目应在可行性研究报告批复前明确出资主体，批复后</w:t>
      </w:r>
      <w:r>
        <w:rPr>
          <w:rFonts w:hint="eastAsia" w:ascii="Times New Roman" w:hAnsi="Times New Roman" w:eastAsia="方正仿宋_GBK"/>
          <w:sz w:val="32"/>
          <w:szCs w:val="32"/>
        </w:rPr>
        <w:t>尽快</w:t>
      </w:r>
      <w:r>
        <w:rPr>
          <w:rFonts w:ascii="Times New Roman" w:hAnsi="Times New Roman" w:eastAsia="方正仿宋_GBK"/>
          <w:sz w:val="32"/>
          <w:szCs w:val="32"/>
        </w:rPr>
        <w:t>完成项目公司组建；铁路项目</w:t>
      </w:r>
      <w:r>
        <w:rPr>
          <w:rFonts w:hint="eastAsia" w:ascii="Times New Roman" w:hAnsi="Times New Roman" w:eastAsia="方正仿宋_GBK"/>
          <w:sz w:val="32"/>
          <w:szCs w:val="32"/>
        </w:rPr>
        <w:t>采用</w:t>
      </w:r>
      <w:r>
        <w:rPr>
          <w:rFonts w:ascii="Times New Roman" w:hAnsi="Times New Roman" w:eastAsia="方正仿宋_GBK"/>
          <w:sz w:val="32"/>
          <w:szCs w:val="32"/>
        </w:rPr>
        <w:t>分段建设</w:t>
      </w:r>
      <w:r>
        <w:rPr>
          <w:rFonts w:hint="eastAsia" w:ascii="Times New Roman" w:hAnsi="Times New Roman" w:eastAsia="方正仿宋_GBK"/>
          <w:sz w:val="32"/>
          <w:szCs w:val="32"/>
        </w:rPr>
        <w:t>模式的</w:t>
      </w:r>
      <w:r>
        <w:rPr>
          <w:rFonts w:ascii="Times New Roman" w:hAnsi="Times New Roman" w:eastAsia="方正仿宋_GBK"/>
          <w:sz w:val="32"/>
          <w:szCs w:val="32"/>
        </w:rPr>
        <w:t>，各出资主体按照</w:t>
      </w:r>
      <w:r>
        <w:rPr>
          <w:rFonts w:hint="eastAsia" w:ascii="Times New Roman" w:hAnsi="Times New Roman" w:eastAsia="方正仿宋_GBK"/>
          <w:sz w:val="32"/>
          <w:szCs w:val="32"/>
        </w:rPr>
        <w:t>分段对应的</w:t>
      </w:r>
      <w:r>
        <w:rPr>
          <w:rFonts w:ascii="Times New Roman" w:hAnsi="Times New Roman" w:eastAsia="方正仿宋_GBK"/>
          <w:sz w:val="32"/>
          <w:szCs w:val="32"/>
        </w:rPr>
        <w:t>出资</w:t>
      </w:r>
      <w:r>
        <w:rPr>
          <w:rFonts w:hint="eastAsia" w:ascii="Times New Roman" w:hAnsi="Times New Roman" w:eastAsia="方正仿宋_GBK"/>
          <w:sz w:val="32"/>
          <w:szCs w:val="32"/>
        </w:rPr>
        <w:t>金额</w:t>
      </w:r>
      <w:r>
        <w:rPr>
          <w:rFonts w:ascii="Times New Roman" w:hAnsi="Times New Roman" w:eastAsia="方正仿宋_GBK"/>
          <w:sz w:val="32"/>
          <w:szCs w:val="32"/>
        </w:rPr>
        <w:t>及时</w:t>
      </w:r>
      <w:r>
        <w:rPr>
          <w:rFonts w:hint="eastAsia" w:ascii="Times New Roman" w:hAnsi="Times New Roman" w:eastAsia="方正仿宋_GBK"/>
          <w:sz w:val="32"/>
          <w:szCs w:val="32"/>
        </w:rPr>
        <w:t>解缴</w:t>
      </w:r>
      <w:r>
        <w:rPr>
          <w:rFonts w:ascii="Times New Roman" w:hAnsi="Times New Roman" w:eastAsia="方正仿宋_GBK"/>
          <w:sz w:val="32"/>
          <w:szCs w:val="32"/>
        </w:rPr>
        <w:t>到位。</w:t>
      </w:r>
      <w:bookmarkEnd w:id="2"/>
    </w:p>
    <w:p w14:paraId="27122494">
      <w:pPr>
        <w:spacing w:after="0" w:line="590" w:lineRule="exact"/>
        <w:ind w:firstLine="643" w:firstLineChars="200"/>
        <w:rPr>
          <w:rFonts w:ascii="Times New Roman" w:hAnsi="Times New Roman" w:eastAsia="方正仿宋_GBK"/>
          <w:sz w:val="32"/>
          <w:szCs w:val="32"/>
          <w:highlight w:val="none"/>
        </w:rPr>
      </w:pPr>
      <w:r>
        <w:rPr>
          <w:rFonts w:hint="eastAsia" w:ascii="方正楷体_GBK" w:hAnsi="Times New Roman" w:eastAsia="方正楷体_GBK"/>
          <w:b/>
          <w:bCs/>
          <w:sz w:val="32"/>
          <w:szCs w:val="32"/>
        </w:rPr>
        <w:t>（十）规范征地拆迁工作</w:t>
      </w:r>
      <w:r>
        <w:rPr>
          <w:rFonts w:hint="eastAsia" w:ascii="方正楷体_GBK" w:hAnsi="Times New Roman" w:eastAsia="方正楷体_GBK"/>
          <w:sz w:val="32"/>
          <w:szCs w:val="32"/>
        </w:rPr>
        <w:t>。</w:t>
      </w:r>
      <w:r>
        <w:rPr>
          <w:rFonts w:hint="eastAsia" w:ascii="Times New Roman" w:hAnsi="Times New Roman" w:eastAsia="方正仿宋_GBK"/>
          <w:sz w:val="32"/>
          <w:szCs w:val="32"/>
        </w:rPr>
        <w:t>沿线市、县（市、区）</w:t>
      </w:r>
      <w:r>
        <w:rPr>
          <w:rFonts w:ascii="Times New Roman" w:hAnsi="Times New Roman" w:eastAsia="方正仿宋_GBK"/>
          <w:sz w:val="32"/>
          <w:szCs w:val="32"/>
        </w:rPr>
        <w:t>人民政府要切实履行铁路建设征地拆迁主体责任，</w:t>
      </w:r>
      <w:r>
        <w:rPr>
          <w:rFonts w:hint="eastAsia" w:ascii="Times New Roman" w:hAnsi="Times New Roman" w:eastAsia="方正仿宋_GBK"/>
          <w:sz w:val="32"/>
          <w:szCs w:val="32"/>
        </w:rPr>
        <w:t>负责组织</w:t>
      </w:r>
      <w:r>
        <w:rPr>
          <w:rFonts w:ascii="Times New Roman" w:hAnsi="Times New Roman" w:eastAsia="方正仿宋_GBK"/>
          <w:sz w:val="32"/>
          <w:szCs w:val="32"/>
        </w:rPr>
        <w:t>开展征地拆迁前期调查，</w:t>
      </w:r>
      <w:r>
        <w:rPr>
          <w:rFonts w:hint="eastAsia" w:ascii="Times New Roman" w:hAnsi="Times New Roman" w:eastAsia="方正仿宋_GBK"/>
          <w:sz w:val="32"/>
          <w:szCs w:val="32"/>
          <w:highlight w:val="none"/>
        </w:rPr>
        <w:t>按程序</w:t>
      </w:r>
      <w:r>
        <w:rPr>
          <w:rFonts w:ascii="Times New Roman" w:hAnsi="Times New Roman" w:eastAsia="方正仿宋_GBK"/>
          <w:sz w:val="32"/>
          <w:szCs w:val="32"/>
          <w:highlight w:val="none"/>
        </w:rPr>
        <w:t>确认范围</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数量</w:t>
      </w:r>
      <w:r>
        <w:rPr>
          <w:rFonts w:hint="eastAsia" w:ascii="Times New Roman" w:hAnsi="Times New Roman" w:eastAsia="方正仿宋_GBK"/>
          <w:sz w:val="32"/>
          <w:szCs w:val="32"/>
          <w:highlight w:val="none"/>
        </w:rPr>
        <w:t>，严格落实国土空间规划要求，严禁违法建设</w:t>
      </w:r>
      <w:r>
        <w:rPr>
          <w:rFonts w:ascii="Times New Roman" w:hAnsi="Times New Roman" w:eastAsia="方正仿宋_GBK"/>
          <w:sz w:val="32"/>
          <w:szCs w:val="32"/>
          <w:highlight w:val="none"/>
        </w:rPr>
        <w:t>；按</w:t>
      </w:r>
      <w:r>
        <w:rPr>
          <w:rFonts w:hint="eastAsia" w:ascii="方正仿宋_GBK" w:hAnsi="Times New Roman" w:eastAsia="方正仿宋_GBK"/>
          <w:sz w:val="32"/>
          <w:szCs w:val="32"/>
          <w:highlight w:val="none"/>
        </w:rPr>
        <w:t>照“包费用、包进度、包稳定”的原则，做好建设项目主体及河道补偿工程、“三电”及管线</w:t>
      </w:r>
      <w:r>
        <w:rPr>
          <w:rFonts w:ascii="Times New Roman" w:hAnsi="Times New Roman" w:eastAsia="方正仿宋_GBK"/>
          <w:sz w:val="32"/>
          <w:szCs w:val="32"/>
          <w:highlight w:val="none"/>
        </w:rPr>
        <w:t>迁改</w:t>
      </w:r>
      <w:r>
        <w:rPr>
          <w:rFonts w:hint="eastAsia" w:ascii="Times New Roman" w:hAnsi="Times New Roman" w:eastAsia="方正仿宋_GBK"/>
          <w:sz w:val="32"/>
          <w:szCs w:val="32"/>
          <w:highlight w:val="none"/>
        </w:rPr>
        <w:t>引起的</w:t>
      </w:r>
      <w:r>
        <w:rPr>
          <w:rFonts w:ascii="Times New Roman" w:hAnsi="Times New Roman" w:eastAsia="方正仿宋_GBK"/>
          <w:sz w:val="32"/>
          <w:szCs w:val="32"/>
          <w:highlight w:val="none"/>
        </w:rPr>
        <w:t>土地征收、</w:t>
      </w:r>
      <w:r>
        <w:rPr>
          <w:rFonts w:hint="eastAsia" w:ascii="Times New Roman" w:hAnsi="Times New Roman" w:eastAsia="方正仿宋_GBK"/>
          <w:sz w:val="32"/>
          <w:szCs w:val="32"/>
          <w:highlight w:val="none"/>
        </w:rPr>
        <w:t>房屋征收（拆迁）、</w:t>
      </w:r>
      <w:r>
        <w:rPr>
          <w:rFonts w:ascii="Times New Roman" w:hAnsi="Times New Roman" w:eastAsia="方正仿宋_GBK"/>
          <w:sz w:val="32"/>
          <w:szCs w:val="32"/>
          <w:highlight w:val="none"/>
        </w:rPr>
        <w:t>补偿安置等工作，及时协调解决征地拆迁和工程建设中的矛盾问题。严格控制铁路项目征地拆迁范围及费用，各地人民政府对征地拆迁费用开展全过程跟踪审计</w:t>
      </w:r>
      <w:r>
        <w:rPr>
          <w:rFonts w:hint="eastAsia" w:ascii="Times New Roman" w:hAnsi="Times New Roman" w:eastAsia="方正仿宋_GBK"/>
          <w:sz w:val="32"/>
          <w:szCs w:val="32"/>
          <w:highlight w:val="none"/>
        </w:rPr>
        <w:t>，省投资主管部门审批的项目超概资金按程序审批确定后计价入股。</w:t>
      </w:r>
    </w:p>
    <w:p w14:paraId="7E11F816">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bCs/>
          <w:sz w:val="32"/>
          <w:szCs w:val="32"/>
          <w:highlight w:val="none"/>
        </w:rPr>
        <w:t>（十一）强化用地用林保障。</w:t>
      </w:r>
      <w:r>
        <w:rPr>
          <w:rFonts w:hint="eastAsia" w:ascii="Times New Roman" w:hAnsi="Times New Roman" w:eastAsia="方正仿宋_GBK"/>
          <w:sz w:val="32"/>
          <w:szCs w:val="32"/>
          <w:highlight w:val="none"/>
        </w:rPr>
        <w:t>设区市</w:t>
      </w:r>
      <w:r>
        <w:rPr>
          <w:rFonts w:ascii="Times New Roman" w:hAnsi="Times New Roman" w:eastAsia="方正仿宋_GBK"/>
          <w:sz w:val="32"/>
          <w:szCs w:val="32"/>
          <w:highlight w:val="none"/>
        </w:rPr>
        <w:t>人民政府</w:t>
      </w:r>
      <w:r>
        <w:rPr>
          <w:rFonts w:hint="eastAsia" w:ascii="Times New Roman" w:hAnsi="Times New Roman" w:eastAsia="方正仿宋_GBK"/>
          <w:sz w:val="32"/>
          <w:szCs w:val="32"/>
          <w:highlight w:val="none"/>
        </w:rPr>
        <w:t>负责</w:t>
      </w:r>
      <w:r>
        <w:rPr>
          <w:rFonts w:ascii="Times New Roman" w:hAnsi="Times New Roman" w:eastAsia="方正仿宋_GBK"/>
          <w:sz w:val="32"/>
          <w:szCs w:val="32"/>
          <w:highlight w:val="none"/>
        </w:rPr>
        <w:t>耕地、林地（公益林）占补平衡和</w:t>
      </w:r>
      <w:r>
        <w:rPr>
          <w:rFonts w:hint="eastAsia" w:ascii="Times New Roman" w:hAnsi="Times New Roman" w:eastAsia="方正仿宋_GBK"/>
          <w:sz w:val="32"/>
          <w:szCs w:val="32"/>
          <w:highlight w:val="none"/>
        </w:rPr>
        <w:t>永久</w:t>
      </w:r>
      <w:r>
        <w:rPr>
          <w:rFonts w:ascii="Times New Roman" w:hAnsi="Times New Roman" w:eastAsia="方正仿宋_GBK"/>
          <w:sz w:val="32"/>
          <w:szCs w:val="32"/>
          <w:highlight w:val="none"/>
        </w:rPr>
        <w:t>基本农田补划</w:t>
      </w:r>
      <w:r>
        <w:rPr>
          <w:rFonts w:hint="eastAsia" w:ascii="Times New Roman" w:hAnsi="Times New Roman" w:eastAsia="方正仿宋_GBK"/>
          <w:sz w:val="32"/>
          <w:szCs w:val="32"/>
          <w:highlight w:val="none"/>
        </w:rPr>
        <w:t>工作。耕地占补平衡指标确实无法在当地落实的，省以上重大基础设施项目可通过</w:t>
      </w:r>
      <w:r>
        <w:rPr>
          <w:rFonts w:hint="eastAsia" w:ascii="Times New Roman" w:hAnsi="Times New Roman" w:eastAsia="方正仿宋_GBK"/>
          <w:sz w:val="32"/>
          <w:szCs w:val="32"/>
        </w:rPr>
        <w:t>市域内、省域内易地补充耕地方式解决。</w:t>
      </w:r>
      <w:r>
        <w:rPr>
          <w:rFonts w:ascii="Times New Roman" w:hAnsi="Times New Roman" w:eastAsia="方正仿宋_GBK"/>
          <w:sz w:val="32"/>
          <w:szCs w:val="32"/>
        </w:rPr>
        <w:t>项目耕地占补平衡费用按补充耕地指标交易系统上一年度省以上重大基础设施项目指标交易加权平均价</w:t>
      </w:r>
      <w:r>
        <w:rPr>
          <w:rFonts w:hint="eastAsia" w:ascii="Times New Roman" w:hAnsi="Times New Roman" w:eastAsia="方正仿宋_GBK"/>
          <w:sz w:val="32"/>
          <w:szCs w:val="32"/>
        </w:rPr>
        <w:t>、</w:t>
      </w:r>
      <w:r>
        <w:rPr>
          <w:rFonts w:ascii="Times New Roman" w:hAnsi="Times New Roman" w:eastAsia="方正仿宋_GBK"/>
          <w:sz w:val="32"/>
          <w:szCs w:val="32"/>
        </w:rPr>
        <w:t>林地占补平衡费用按</w:t>
      </w:r>
      <w:r>
        <w:rPr>
          <w:rFonts w:hint="eastAsia" w:ascii="Times New Roman" w:hAnsi="Times New Roman" w:eastAsia="方正仿宋_GBK"/>
          <w:sz w:val="32"/>
          <w:szCs w:val="32"/>
        </w:rPr>
        <w:t>标准（</w:t>
      </w:r>
      <w:r>
        <w:rPr>
          <w:rFonts w:ascii="Times New Roman" w:hAnsi="Times New Roman" w:eastAsia="方正仿宋_GBK"/>
          <w:sz w:val="32"/>
          <w:szCs w:val="32"/>
        </w:rPr>
        <w:t>非省级以上公益林15万元/亩</w:t>
      </w:r>
      <w:r>
        <w:rPr>
          <w:rFonts w:hint="eastAsia" w:ascii="Times New Roman" w:hAnsi="Times New Roman" w:eastAsia="方正仿宋_GBK"/>
          <w:sz w:val="32"/>
          <w:szCs w:val="32"/>
        </w:rPr>
        <w:t>、</w:t>
      </w:r>
      <w:r>
        <w:rPr>
          <w:rFonts w:ascii="Times New Roman" w:hAnsi="Times New Roman" w:eastAsia="方正仿宋_GBK"/>
          <w:sz w:val="32"/>
          <w:szCs w:val="32"/>
        </w:rPr>
        <w:t>省级以上公益林20万元/亩</w:t>
      </w:r>
      <w:r>
        <w:rPr>
          <w:rFonts w:hint="eastAsia" w:ascii="Times New Roman" w:hAnsi="Times New Roman" w:eastAsia="方正仿宋_GBK"/>
          <w:sz w:val="32"/>
          <w:szCs w:val="32"/>
        </w:rPr>
        <w:t>）</w:t>
      </w:r>
      <w:r>
        <w:rPr>
          <w:rFonts w:ascii="Times New Roman" w:hAnsi="Times New Roman" w:eastAsia="方正仿宋_GBK"/>
          <w:sz w:val="32"/>
          <w:szCs w:val="32"/>
        </w:rPr>
        <w:t>纳入设计概算</w:t>
      </w:r>
      <w:r>
        <w:rPr>
          <w:rFonts w:hint="eastAsia" w:ascii="Times New Roman" w:hAnsi="Times New Roman" w:eastAsia="方正仿宋_GBK"/>
          <w:sz w:val="32"/>
          <w:szCs w:val="32"/>
        </w:rPr>
        <w:t>；</w:t>
      </w:r>
      <w:r>
        <w:rPr>
          <w:rFonts w:ascii="Times New Roman" w:hAnsi="Times New Roman" w:eastAsia="方正仿宋_GBK"/>
          <w:sz w:val="32"/>
          <w:szCs w:val="32"/>
        </w:rPr>
        <w:t>项目决算阶段按实列入工程投资</w:t>
      </w:r>
      <w:r>
        <w:rPr>
          <w:rFonts w:hint="eastAsia" w:ascii="Times New Roman" w:hAnsi="Times New Roman" w:eastAsia="方正仿宋_GBK"/>
          <w:sz w:val="32"/>
          <w:szCs w:val="32"/>
        </w:rPr>
        <w:t>，</w:t>
      </w:r>
      <w:r>
        <w:rPr>
          <w:rFonts w:ascii="Times New Roman" w:hAnsi="Times New Roman" w:eastAsia="方正仿宋_GBK"/>
          <w:sz w:val="32"/>
          <w:szCs w:val="32"/>
        </w:rPr>
        <w:t>地方自行解决耕地指标的按省交易系统最近一期交易底价列入工程投资。新增建设用地有偿使用费列入设计概算，</w:t>
      </w:r>
      <w:r>
        <w:rPr>
          <w:rFonts w:hint="eastAsia" w:ascii="Times New Roman" w:hAnsi="Times New Roman" w:eastAsia="方正仿宋_GBK"/>
          <w:sz w:val="32"/>
          <w:szCs w:val="32"/>
        </w:rPr>
        <w:t>并</w:t>
      </w:r>
      <w:r>
        <w:rPr>
          <w:rFonts w:ascii="Times New Roman" w:hAnsi="Times New Roman" w:eastAsia="方正仿宋_GBK"/>
          <w:sz w:val="32"/>
          <w:szCs w:val="32"/>
        </w:rPr>
        <w:t>按规定</w:t>
      </w:r>
      <w:r>
        <w:rPr>
          <w:rFonts w:hint="eastAsia" w:ascii="Times New Roman" w:hAnsi="Times New Roman" w:eastAsia="方正仿宋_GBK"/>
          <w:sz w:val="32"/>
          <w:szCs w:val="32"/>
        </w:rPr>
        <w:t>缴纳</w:t>
      </w:r>
      <w:r>
        <w:rPr>
          <w:rFonts w:ascii="Times New Roman" w:hAnsi="Times New Roman" w:eastAsia="方正仿宋_GBK"/>
          <w:sz w:val="32"/>
          <w:szCs w:val="32"/>
        </w:rPr>
        <w:t>。对列入国家及省重大项目投资计划的铁路项目，免缴农业重点开发建设资金。</w:t>
      </w:r>
      <w:r>
        <w:rPr>
          <w:rFonts w:hint="eastAsia" w:ascii="Times New Roman" w:hAnsi="Times New Roman" w:eastAsia="方正仿宋_GBK"/>
          <w:sz w:val="32"/>
          <w:szCs w:val="32"/>
        </w:rPr>
        <w:t>国家铁路集团参与投资的</w:t>
      </w:r>
      <w:r>
        <w:rPr>
          <w:rFonts w:ascii="Times New Roman" w:hAnsi="Times New Roman" w:eastAsia="方正仿宋_GBK"/>
          <w:sz w:val="32"/>
          <w:szCs w:val="32"/>
        </w:rPr>
        <w:t>项目参照执行。</w:t>
      </w:r>
    </w:p>
    <w:p w14:paraId="12675849">
      <w:pPr>
        <w:spacing w:after="0" w:line="590" w:lineRule="exact"/>
        <w:ind w:firstLine="643" w:firstLineChars="200"/>
        <w:rPr>
          <w:rFonts w:ascii="Times New Roman" w:hAnsi="Times New Roman" w:eastAsia="方正仿宋_GBK"/>
          <w:iCs/>
          <w:sz w:val="32"/>
          <w:szCs w:val="32"/>
        </w:rPr>
      </w:pPr>
      <w:r>
        <w:rPr>
          <w:rFonts w:hint="eastAsia" w:ascii="方正楷体_GBK" w:hAnsi="Times New Roman" w:eastAsia="方正楷体_GBK"/>
          <w:b/>
          <w:bCs/>
          <w:sz w:val="32"/>
          <w:szCs w:val="32"/>
        </w:rPr>
        <w:t>（十二）夯实建设保障基础。</w:t>
      </w:r>
      <w:bookmarkStart w:id="3" w:name="OLE_LINK3"/>
      <w:bookmarkStart w:id="4" w:name="OLE_LINK4"/>
      <w:r>
        <w:rPr>
          <w:rFonts w:hint="eastAsia" w:ascii="Times New Roman" w:hAnsi="Times New Roman" w:eastAsia="方正仿宋_GBK"/>
          <w:sz w:val="32"/>
          <w:szCs w:val="32"/>
        </w:rPr>
        <w:t>省铁路集团等投资建设主体要提升铁路项目建设管理能力。对于</w:t>
      </w:r>
      <w:r>
        <w:rPr>
          <w:rFonts w:ascii="Times New Roman" w:hAnsi="Times New Roman" w:eastAsia="方正仿宋_GBK"/>
          <w:sz w:val="32"/>
          <w:szCs w:val="32"/>
        </w:rPr>
        <w:t>实施委托代建的</w:t>
      </w:r>
      <w:r>
        <w:rPr>
          <w:rFonts w:hint="eastAsia" w:ascii="Times New Roman" w:hAnsi="Times New Roman" w:eastAsia="方正仿宋_GBK"/>
          <w:sz w:val="32"/>
          <w:szCs w:val="32"/>
        </w:rPr>
        <w:t>项目，</w:t>
      </w:r>
      <w:r>
        <w:rPr>
          <w:rFonts w:ascii="Times New Roman" w:hAnsi="Times New Roman" w:eastAsia="方正仿宋_GBK"/>
          <w:sz w:val="32"/>
          <w:szCs w:val="32"/>
        </w:rPr>
        <w:t>应依法明确委托方和受托方的建设管理职责和权限</w:t>
      </w:r>
      <w:r>
        <w:rPr>
          <w:rFonts w:hint="eastAsia" w:ascii="Times New Roman" w:hAnsi="Times New Roman" w:eastAsia="方正仿宋_GBK"/>
          <w:sz w:val="32"/>
          <w:szCs w:val="32"/>
        </w:rPr>
        <w:t>，不得规避</w:t>
      </w:r>
      <w:r>
        <w:rPr>
          <w:rFonts w:ascii="Times New Roman" w:hAnsi="Times New Roman" w:eastAsia="方正仿宋_GBK"/>
          <w:sz w:val="32"/>
          <w:szCs w:val="32"/>
        </w:rPr>
        <w:t>法定</w:t>
      </w:r>
      <w:r>
        <w:rPr>
          <w:rFonts w:hint="eastAsia" w:ascii="Times New Roman" w:hAnsi="Times New Roman" w:eastAsia="方正仿宋_GBK"/>
          <w:sz w:val="32"/>
          <w:szCs w:val="32"/>
        </w:rPr>
        <w:t>的</w:t>
      </w:r>
      <w:r>
        <w:rPr>
          <w:rFonts w:ascii="Times New Roman" w:hAnsi="Times New Roman" w:eastAsia="方正仿宋_GBK"/>
          <w:sz w:val="32"/>
          <w:szCs w:val="32"/>
        </w:rPr>
        <w:t>义务</w:t>
      </w:r>
      <w:r>
        <w:rPr>
          <w:rFonts w:hint="eastAsia" w:ascii="Times New Roman" w:hAnsi="Times New Roman" w:eastAsia="方正仿宋_GBK"/>
          <w:sz w:val="32"/>
          <w:szCs w:val="32"/>
        </w:rPr>
        <w:t>和</w:t>
      </w:r>
      <w:r>
        <w:rPr>
          <w:rFonts w:ascii="Times New Roman" w:hAnsi="Times New Roman" w:eastAsia="方正仿宋_GBK"/>
          <w:sz w:val="32"/>
          <w:szCs w:val="32"/>
        </w:rPr>
        <w:t>责任。</w:t>
      </w:r>
      <w:bookmarkEnd w:id="3"/>
      <w:bookmarkEnd w:id="4"/>
      <w:r>
        <w:rPr>
          <w:rFonts w:ascii="Times New Roman" w:hAnsi="Times New Roman" w:eastAsia="方正仿宋_GBK"/>
          <w:sz w:val="32"/>
          <w:szCs w:val="32"/>
        </w:rPr>
        <w:t>强化信用监管，完善铁路建设从业单位信用评价机制。完善跨省项目联合推</w:t>
      </w:r>
      <w:r>
        <w:rPr>
          <w:rFonts w:ascii="Times New Roman" w:hAnsi="Times New Roman" w:eastAsia="方正仿宋_GBK"/>
          <w:iCs/>
          <w:sz w:val="32"/>
          <w:szCs w:val="32"/>
        </w:rPr>
        <w:t>进及监管机制，强化勘察、设计、施工、验收等环节</w:t>
      </w:r>
      <w:r>
        <w:rPr>
          <w:rFonts w:hint="eastAsia" w:ascii="Times New Roman" w:hAnsi="Times New Roman" w:eastAsia="方正仿宋_GBK"/>
          <w:iCs/>
          <w:sz w:val="32"/>
          <w:szCs w:val="32"/>
        </w:rPr>
        <w:t>的协同</w:t>
      </w:r>
      <w:r>
        <w:rPr>
          <w:rFonts w:ascii="Times New Roman" w:hAnsi="Times New Roman" w:eastAsia="方正仿宋_GBK"/>
          <w:iCs/>
          <w:sz w:val="32"/>
          <w:szCs w:val="32"/>
        </w:rPr>
        <w:t>。</w:t>
      </w:r>
      <w:r>
        <w:rPr>
          <w:rFonts w:hint="eastAsia" w:ascii="Times New Roman" w:hAnsi="Times New Roman" w:eastAsia="方正仿宋_GBK"/>
          <w:iCs/>
          <w:sz w:val="32"/>
          <w:szCs w:val="32"/>
        </w:rPr>
        <w:t>健全铁路项目涉军协调机制，设区市政府作为责任主体负责境内涉军事项的推进落实，省国动办负责涉及军事设施保护事项</w:t>
      </w:r>
      <w:r>
        <w:rPr>
          <w:rFonts w:hint="eastAsia" w:ascii="Times New Roman" w:hAnsi="Times New Roman" w:eastAsia="方正仿宋_GBK"/>
          <w:iCs/>
          <w:sz w:val="32"/>
          <w:szCs w:val="32"/>
          <w:highlight w:val="none"/>
        </w:rPr>
        <w:t>的沟通联络，建设单位和省行业部门要主动做好相关工作、形成推进合力。</w:t>
      </w:r>
    </w:p>
    <w:p w14:paraId="21B29867">
      <w:pPr>
        <w:pStyle w:val="2"/>
        <w:spacing w:after="0"/>
        <w:rPr>
          <w:rFonts w:ascii="Times New Roman" w:hAnsi="Times New Roman"/>
        </w:rPr>
      </w:pPr>
      <w:r>
        <w:rPr>
          <w:rFonts w:ascii="Times New Roman" w:hAnsi="Times New Roman"/>
        </w:rPr>
        <w:t>五、优化运营服务</w:t>
      </w:r>
    </w:p>
    <w:p w14:paraId="5B8D5D84">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（十三）增强客运服务供给。</w:t>
      </w:r>
      <w:r>
        <w:rPr>
          <w:rFonts w:hint="eastAsia" w:ascii="Times New Roman" w:hAnsi="Times New Roman" w:eastAsia="方正仿宋_GBK"/>
          <w:sz w:val="32"/>
          <w:szCs w:val="32"/>
        </w:rPr>
        <w:t>加强旅客出行规律和需求分析，</w:t>
      </w:r>
      <w:r>
        <w:rPr>
          <w:rFonts w:ascii="Times New Roman" w:hAnsi="Times New Roman" w:eastAsia="方正仿宋_GBK"/>
          <w:sz w:val="32"/>
          <w:szCs w:val="32"/>
        </w:rPr>
        <w:t>完善路省客运联动会商机制，全面推行客</w:t>
      </w:r>
      <w:r>
        <w:rPr>
          <w:rFonts w:hint="eastAsia" w:ascii="方正仿宋_GBK" w:hAnsi="Times New Roman" w:eastAsia="方正仿宋_GBK"/>
          <w:sz w:val="32"/>
          <w:szCs w:val="32"/>
        </w:rPr>
        <w:t>运“一日一图”“一线一策”，提高市场适应性和供需适配性，协调优化旅客列车开行方案，丰富“铁路+文商旅体展”客运产品及普惠经济、时刻友好的普速客运产品，</w:t>
      </w:r>
      <w:r>
        <w:rPr>
          <w:rFonts w:ascii="Times New Roman" w:hAnsi="Times New Roman" w:eastAsia="方正仿宋_GBK"/>
          <w:sz w:val="32"/>
          <w:szCs w:val="32"/>
        </w:rPr>
        <w:t>支持</w:t>
      </w:r>
      <w:r>
        <w:rPr>
          <w:rFonts w:hint="eastAsia" w:ascii="Times New Roman" w:hAnsi="Times New Roman" w:eastAsia="方正仿宋_GBK"/>
          <w:sz w:val="32"/>
          <w:szCs w:val="32"/>
        </w:rPr>
        <w:t>开行</w:t>
      </w:r>
      <w:r>
        <w:rPr>
          <w:rFonts w:ascii="Times New Roman" w:hAnsi="Times New Roman" w:eastAsia="方正仿宋_GBK"/>
          <w:sz w:val="32"/>
          <w:szCs w:val="32"/>
        </w:rPr>
        <w:t>环线列车</w:t>
      </w:r>
      <w:r>
        <w:rPr>
          <w:rFonts w:hint="eastAsia" w:ascii="Times New Roman" w:hAnsi="Times New Roman" w:eastAsia="方正仿宋_GBK"/>
          <w:sz w:val="32"/>
          <w:szCs w:val="32"/>
        </w:rPr>
        <w:t>及定制化专列，</w:t>
      </w:r>
      <w:r>
        <w:rPr>
          <w:rFonts w:hint="eastAsia" w:ascii="方正仿宋_GBK" w:hAnsi="Times New Roman" w:eastAsia="方正仿宋_GBK"/>
          <w:sz w:val="32"/>
          <w:szCs w:val="32"/>
        </w:rPr>
        <w:t>加大自担当列车开行探索。</w:t>
      </w:r>
      <w:r>
        <w:rPr>
          <w:rFonts w:ascii="Times New Roman" w:hAnsi="Times New Roman" w:eastAsia="方正仿宋_GBK"/>
          <w:sz w:val="32"/>
          <w:szCs w:val="32"/>
        </w:rPr>
        <w:t>鼓励政府与铁路企业加强合作，因地制宜、因线施策推动利用既有铁路富余能力开行城际、市域（郊）列车，提升都市圈城际通勤效率。</w:t>
      </w:r>
      <w:bookmarkStart w:id="5" w:name="OLE_LINK36"/>
      <w:bookmarkStart w:id="6" w:name="OLE_LINK37"/>
    </w:p>
    <w:p w14:paraId="59497056">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（十四）推动</w:t>
      </w:r>
      <w:bookmarkStart w:id="7" w:name="OLE_LINK35"/>
      <w:bookmarkStart w:id="8" w:name="OLE_LINK34"/>
      <w:r>
        <w:rPr>
          <w:rFonts w:hint="eastAsia" w:ascii="方正楷体_GBK" w:hAnsi="Times New Roman" w:eastAsia="方正楷体_GBK"/>
          <w:b/>
          <w:sz w:val="32"/>
          <w:szCs w:val="32"/>
        </w:rPr>
        <w:t>货运</w:t>
      </w:r>
      <w:bookmarkEnd w:id="5"/>
      <w:bookmarkEnd w:id="6"/>
      <w:bookmarkEnd w:id="7"/>
      <w:bookmarkEnd w:id="8"/>
      <w:r>
        <w:rPr>
          <w:rFonts w:hint="eastAsia" w:ascii="方正楷体_GBK" w:hAnsi="Times New Roman" w:eastAsia="方正楷体_GBK"/>
          <w:b/>
          <w:sz w:val="32"/>
          <w:szCs w:val="32"/>
        </w:rPr>
        <w:t>转型升级</w:t>
      </w:r>
      <w:r>
        <w:rPr>
          <w:rFonts w:hint="eastAsia" w:ascii="方正楷体_GBK" w:hAnsi="Times New Roman" w:eastAsia="方正楷体_GBK"/>
          <w:sz w:val="32"/>
          <w:szCs w:val="32"/>
        </w:rPr>
        <w:t>。</w:t>
      </w:r>
      <w:r>
        <w:rPr>
          <w:rFonts w:hint="eastAsia" w:ascii="方正仿宋_GBK" w:hAnsi="Times New Roman" w:eastAsia="方正仿宋_GBK"/>
          <w:color w:val="0F1115"/>
          <w:sz w:val="32"/>
          <w:szCs w:val="32"/>
          <w:shd w:val="clear" w:color="auto" w:fill="FFFFFF"/>
        </w:rPr>
        <w:t>提升铁路网货运运能，补强货运干线通道能力、提升运行效率，推进专用线通港达园入企，优化全省铁路物流</w:t>
      </w:r>
      <w:r>
        <w:rPr>
          <w:rFonts w:ascii="方正仿宋_GBK" w:hAnsi="Times New Roman" w:eastAsia="方正仿宋_GBK"/>
          <w:color w:val="0F1115"/>
          <w:sz w:val="32"/>
          <w:szCs w:val="32"/>
          <w:shd w:val="clear" w:color="auto" w:fill="FFFFFF"/>
        </w:rPr>
        <w:t>基地功能布局</w:t>
      </w:r>
      <w:r>
        <w:rPr>
          <w:rFonts w:hint="eastAsia" w:ascii="方正仿宋_GBK" w:hAnsi="Times New Roman" w:eastAsia="方正仿宋_GBK"/>
          <w:color w:val="0F1115"/>
          <w:sz w:val="32"/>
          <w:szCs w:val="32"/>
          <w:shd w:val="clear" w:color="auto" w:fill="FFFFFF"/>
        </w:rPr>
        <w:t>，促进铁路货运向铁路物流转型。</w:t>
      </w:r>
      <w:r>
        <w:rPr>
          <w:rFonts w:ascii="方正仿宋_GBK" w:hAnsi="Times New Roman" w:eastAsia="方正仿宋_GBK"/>
          <w:color w:val="0F1115"/>
          <w:sz w:val="32"/>
          <w:szCs w:val="32"/>
          <w:shd w:val="clear" w:color="auto" w:fill="FFFFFF"/>
        </w:rPr>
        <w:t>优化铁路货运服务</w:t>
      </w:r>
      <w:r>
        <w:rPr>
          <w:rFonts w:hint="eastAsia" w:ascii="方正仿宋_GBK" w:hAnsi="Times New Roman" w:eastAsia="方正仿宋_GBK"/>
          <w:color w:val="0F1115"/>
          <w:sz w:val="32"/>
          <w:szCs w:val="32"/>
          <w:shd w:val="clear" w:color="auto" w:fill="FFFFFF"/>
        </w:rPr>
        <w:t>，精准对接适铁货源，拓展“铁路+”现代物流服务模式，积极推广现代化铁路物流装备体系，</w:t>
      </w:r>
      <w:r>
        <w:rPr>
          <w:rFonts w:ascii="方正仿宋_GBK" w:hAnsi="Times New Roman" w:eastAsia="方正仿宋_GBK"/>
          <w:color w:val="0F1115"/>
          <w:sz w:val="32"/>
          <w:szCs w:val="32"/>
          <w:shd w:val="clear" w:color="auto" w:fill="FFFFFF"/>
        </w:rPr>
        <w:t>开展高铁快运研究</w:t>
      </w:r>
      <w:r>
        <w:rPr>
          <w:rFonts w:hint="eastAsia" w:ascii="方正仿宋_GBK" w:hAnsi="Times New Roman" w:eastAsia="方正仿宋_GBK"/>
          <w:color w:val="0F1115"/>
          <w:sz w:val="32"/>
          <w:szCs w:val="32"/>
          <w:shd w:val="clear" w:color="auto" w:fill="FFFFFF"/>
        </w:rPr>
        <w:t>。</w:t>
      </w:r>
      <w:r>
        <w:rPr>
          <w:rFonts w:ascii="Times New Roman" w:hAnsi="Times New Roman" w:eastAsia="方正仿宋_GBK"/>
          <w:sz w:val="32"/>
          <w:szCs w:val="32"/>
        </w:rPr>
        <w:t>大力发展以铁路运输为骨干的多式联运体系</w:t>
      </w:r>
      <w:r>
        <w:rPr>
          <w:rFonts w:hint="eastAsia" w:ascii="Times New Roman" w:hAnsi="Times New Roman" w:eastAsia="方正仿宋_GBK"/>
          <w:sz w:val="32"/>
          <w:szCs w:val="32"/>
        </w:rPr>
        <w:t>，</w:t>
      </w:r>
      <w:r>
        <w:rPr>
          <w:rFonts w:hint="eastAsia" w:ascii="方正仿宋_GBK" w:hAnsi="Times New Roman" w:eastAsia="方正仿宋_GBK"/>
          <w:color w:val="0F1115"/>
          <w:sz w:val="32"/>
          <w:szCs w:val="32"/>
          <w:shd w:val="clear" w:color="auto" w:fill="FFFFFF"/>
        </w:rPr>
        <w:t>培育多式联运经营人，</w:t>
      </w:r>
      <w:r>
        <w:rPr>
          <w:rFonts w:ascii="方正仿宋_GBK" w:hAnsi="Times New Roman" w:eastAsia="方正仿宋_GBK"/>
          <w:color w:val="0F1115"/>
          <w:sz w:val="32"/>
          <w:szCs w:val="32"/>
          <w:shd w:val="clear" w:color="auto" w:fill="FFFFFF"/>
        </w:rPr>
        <w:t>优化联运组织</w:t>
      </w:r>
      <w:r>
        <w:rPr>
          <w:rFonts w:hint="eastAsia" w:ascii="方正仿宋_GBK" w:hAnsi="Times New Roman" w:eastAsia="方正仿宋_GBK"/>
          <w:color w:val="0F1115"/>
          <w:sz w:val="32"/>
          <w:szCs w:val="32"/>
          <w:shd w:val="clear" w:color="auto" w:fill="FFFFFF"/>
        </w:rPr>
        <w:t>、强化信息共享，</w:t>
      </w:r>
      <w:r>
        <w:rPr>
          <w:rFonts w:ascii="方正仿宋_GBK" w:hAnsi="Times New Roman" w:eastAsia="方正仿宋_GBK"/>
          <w:color w:val="0F1115"/>
          <w:sz w:val="32"/>
          <w:szCs w:val="32"/>
          <w:shd w:val="clear" w:color="auto" w:fill="FFFFFF"/>
        </w:rPr>
        <w:t>提升中欧（亚）班列运营质效</w:t>
      </w:r>
      <w:r>
        <w:rPr>
          <w:rFonts w:hint="eastAsia" w:ascii="方正仿宋_GBK" w:hAnsi="Times New Roman" w:eastAsia="方正仿宋_GBK"/>
          <w:color w:val="0F1115"/>
          <w:sz w:val="32"/>
          <w:szCs w:val="32"/>
          <w:shd w:val="clear" w:color="auto" w:fill="FFFFFF"/>
        </w:rPr>
        <w:t>，打造多式联运高质量发展示范区</w:t>
      </w:r>
      <w:r>
        <w:rPr>
          <w:rFonts w:ascii="方正仿宋_GBK" w:hAnsi="Times New Roman" w:eastAsia="方正仿宋_GBK"/>
          <w:color w:val="0F1115"/>
          <w:sz w:val="32"/>
          <w:szCs w:val="32"/>
          <w:shd w:val="clear" w:color="auto" w:fill="FFFFFF"/>
        </w:rPr>
        <w:t>。</w:t>
      </w:r>
    </w:p>
    <w:p w14:paraId="716775D8">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（十五）探索地方铁路运营新模式。</w:t>
      </w:r>
      <w:r>
        <w:rPr>
          <w:rFonts w:hint="eastAsia" w:ascii="方正仿宋_GBK" w:hAnsi="Times New Roman" w:eastAsia="方正仿宋_GBK"/>
          <w:sz w:val="32"/>
          <w:szCs w:val="32"/>
        </w:rPr>
        <w:t>深化路地合作，依托省级铁路运营平台，推行设施维保集约化管理，加强运维专业化力量。</w:t>
      </w:r>
      <w:r>
        <w:rPr>
          <w:rFonts w:ascii="Times New Roman" w:hAnsi="Times New Roman" w:eastAsia="方正仿宋_GBK"/>
          <w:sz w:val="32"/>
          <w:szCs w:val="32"/>
        </w:rPr>
        <w:t>加快构建城际铁路自主运营</w:t>
      </w:r>
      <w:r>
        <w:rPr>
          <w:rFonts w:hint="eastAsia" w:ascii="Times New Roman" w:hAnsi="Times New Roman" w:eastAsia="方正仿宋_GBK"/>
          <w:sz w:val="32"/>
          <w:szCs w:val="32"/>
        </w:rPr>
        <w:t>管理</w:t>
      </w:r>
      <w:r>
        <w:rPr>
          <w:rFonts w:ascii="Times New Roman" w:hAnsi="Times New Roman" w:eastAsia="方正仿宋_GBK"/>
          <w:sz w:val="32"/>
          <w:szCs w:val="32"/>
        </w:rPr>
        <w:t>体系</w:t>
      </w:r>
      <w:r>
        <w:rPr>
          <w:rFonts w:hint="eastAsia" w:ascii="Times New Roman" w:hAnsi="Times New Roman" w:eastAsia="方正仿宋_GBK"/>
          <w:sz w:val="32"/>
          <w:szCs w:val="32"/>
        </w:rPr>
        <w:t>，</w:t>
      </w:r>
      <w:r>
        <w:rPr>
          <w:rFonts w:ascii="Times New Roman" w:hAnsi="Times New Roman" w:eastAsia="方正仿宋_GBK"/>
          <w:sz w:val="32"/>
          <w:szCs w:val="32"/>
        </w:rPr>
        <w:t>提升一体化运营、</w:t>
      </w:r>
      <w:r>
        <w:rPr>
          <w:rFonts w:hint="eastAsia" w:ascii="Times New Roman" w:hAnsi="Times New Roman" w:eastAsia="方正仿宋_GBK"/>
          <w:sz w:val="32"/>
          <w:szCs w:val="32"/>
        </w:rPr>
        <w:t>智慧</w:t>
      </w:r>
      <w:r>
        <w:rPr>
          <w:rFonts w:ascii="Times New Roman" w:hAnsi="Times New Roman" w:eastAsia="方正仿宋_GBK"/>
          <w:sz w:val="32"/>
          <w:szCs w:val="32"/>
        </w:rPr>
        <w:t>化运维能力。加强跨区域调度指挥、运能分配的协调，积极</w:t>
      </w:r>
      <w:r>
        <w:rPr>
          <w:rFonts w:hint="eastAsia" w:ascii="Times New Roman" w:hAnsi="Times New Roman" w:eastAsia="方正仿宋_GBK"/>
          <w:sz w:val="32"/>
          <w:szCs w:val="32"/>
        </w:rPr>
        <w:t>探索</w:t>
      </w:r>
      <w:r>
        <w:rPr>
          <w:rFonts w:ascii="Times New Roman" w:hAnsi="Times New Roman" w:eastAsia="方正仿宋_GBK"/>
          <w:sz w:val="32"/>
          <w:szCs w:val="32"/>
        </w:rPr>
        <w:t>长三角区域城际铁路与市域（郊）铁路、城市轨道交通深度协同，</w:t>
      </w:r>
      <w:r>
        <w:rPr>
          <w:rFonts w:hint="eastAsia" w:ascii="Times New Roman" w:hAnsi="Times New Roman" w:eastAsia="方正仿宋_GBK"/>
          <w:sz w:val="32"/>
          <w:szCs w:val="32"/>
        </w:rPr>
        <w:t>打造</w:t>
      </w:r>
      <w:r>
        <w:rPr>
          <w:rFonts w:hint="eastAsia" w:ascii="方正仿宋_GBK" w:hAnsi="Times New Roman" w:eastAsia="方正仿宋_GBK"/>
          <w:sz w:val="32"/>
          <w:szCs w:val="32"/>
        </w:rPr>
        <w:t>“一票通达、一站出行”的便捷体验。推动铁路场站从铁路企业独</w:t>
      </w:r>
      <w:r>
        <w:rPr>
          <w:rFonts w:hint="eastAsia" w:ascii="Times New Roman" w:hAnsi="Times New Roman" w:eastAsia="方正仿宋_GBK"/>
          <w:sz w:val="32"/>
          <w:szCs w:val="32"/>
        </w:rPr>
        <w:t>立运营向多方主体合资合作共同运营转型，</w:t>
      </w:r>
      <w:r>
        <w:rPr>
          <w:rFonts w:ascii="Times New Roman" w:hAnsi="Times New Roman" w:eastAsia="方正仿宋_GBK"/>
          <w:sz w:val="32"/>
          <w:szCs w:val="32"/>
        </w:rPr>
        <w:t>探索自主运营铁路专（支）线</w:t>
      </w:r>
      <w:r>
        <w:rPr>
          <w:rFonts w:hint="eastAsia" w:ascii="Times New Roman" w:hAnsi="Times New Roman" w:eastAsia="方正仿宋_GBK"/>
          <w:sz w:val="32"/>
          <w:szCs w:val="32"/>
        </w:rPr>
        <w:t>。</w:t>
      </w:r>
    </w:p>
    <w:p w14:paraId="2920E12C">
      <w:pPr>
        <w:pStyle w:val="2"/>
        <w:spacing w:after="0"/>
        <w:rPr>
          <w:rFonts w:ascii="Times New Roman" w:hAnsi="Times New Roman"/>
        </w:rPr>
      </w:pPr>
      <w:r>
        <w:rPr>
          <w:rFonts w:ascii="Times New Roman" w:hAnsi="Times New Roman"/>
        </w:rPr>
        <w:t>六、</w:t>
      </w:r>
      <w:r>
        <w:rPr>
          <w:rFonts w:hint="eastAsia" w:ascii="Times New Roman" w:hAnsi="Times New Roman"/>
        </w:rPr>
        <w:t>加强监管与创新</w:t>
      </w:r>
    </w:p>
    <w:p w14:paraId="6D6B18A4">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bCs/>
          <w:sz w:val="32"/>
          <w:szCs w:val="32"/>
        </w:rPr>
        <w:t>（十六）</w:t>
      </w:r>
      <w:r>
        <w:rPr>
          <w:rFonts w:ascii="Times New Roman" w:hAnsi="Times New Roman" w:eastAsia="方正楷体_GBK"/>
          <w:b/>
          <w:sz w:val="32"/>
          <w:szCs w:val="32"/>
        </w:rPr>
        <w:t>构建地方铁路全过程监管体系。</w:t>
      </w:r>
      <w:r>
        <w:rPr>
          <w:rFonts w:hint="eastAsia" w:ascii="Times New Roman" w:hAnsi="Times New Roman" w:eastAsia="方正仿宋_GBK"/>
          <w:sz w:val="32"/>
          <w:szCs w:val="32"/>
        </w:rPr>
        <w:t>加强事前、事中、事后监管，各级地方铁路管理部门落实国家关于铁路监管的政策要求，推动完善城际铁路、市域（郊）铁路、铁路专（支）线建设市场秩序、工程质量安全、运输服务质量等分层分类监管体系。</w:t>
      </w:r>
      <w:r>
        <w:rPr>
          <w:rFonts w:ascii="Times New Roman" w:hAnsi="Times New Roman" w:eastAsia="方正仿宋_GBK"/>
          <w:sz w:val="32"/>
          <w:szCs w:val="32"/>
        </w:rPr>
        <w:t>加快推进地方铁路法</w:t>
      </w:r>
      <w:r>
        <w:rPr>
          <w:rFonts w:hint="eastAsia" w:ascii="Times New Roman" w:hAnsi="Times New Roman" w:eastAsia="方正仿宋_GBK"/>
          <w:sz w:val="32"/>
          <w:szCs w:val="32"/>
        </w:rPr>
        <w:t>制</w:t>
      </w:r>
      <w:r>
        <w:rPr>
          <w:rFonts w:ascii="Times New Roman" w:hAnsi="Times New Roman" w:eastAsia="方正仿宋_GBK"/>
          <w:sz w:val="32"/>
          <w:szCs w:val="32"/>
        </w:rPr>
        <w:t>建设，围绕立项决策、勘察设计、工程实施、竣工验收、运营管理等，建立健全流程规范、协同高效、监管有力的制度体系</w:t>
      </w:r>
      <w:r>
        <w:rPr>
          <w:rFonts w:hint="eastAsia" w:ascii="Times New Roman" w:hAnsi="Times New Roman" w:eastAsia="方正仿宋_GBK"/>
          <w:sz w:val="32"/>
          <w:szCs w:val="32"/>
        </w:rPr>
        <w:t>，</w:t>
      </w:r>
      <w:r>
        <w:rPr>
          <w:rFonts w:ascii="Times New Roman" w:hAnsi="Times New Roman" w:eastAsia="方正仿宋_GBK"/>
          <w:sz w:val="32"/>
          <w:szCs w:val="32"/>
        </w:rPr>
        <w:t>提升地方铁路治理体系和治理能力现代化水平。</w:t>
      </w:r>
    </w:p>
    <w:p w14:paraId="409D4C9B">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bCs/>
          <w:sz w:val="32"/>
          <w:szCs w:val="32"/>
        </w:rPr>
        <w:t>（十七）加强安全监管</w:t>
      </w:r>
      <w:r>
        <w:rPr>
          <w:rFonts w:hint="eastAsia" w:ascii="方正楷体_GBK" w:hAnsi="Times New Roman" w:eastAsia="方正楷体_GBK"/>
          <w:sz w:val="32"/>
          <w:szCs w:val="32"/>
        </w:rPr>
        <w:t>。</w:t>
      </w:r>
      <w:r>
        <w:rPr>
          <w:rFonts w:ascii="Times New Roman" w:hAnsi="Times New Roman" w:eastAsia="方正仿宋_GBK"/>
          <w:sz w:val="32"/>
          <w:szCs w:val="32"/>
        </w:rPr>
        <w:t>坚持安全第一、预防为主、综合治理的方针，</w:t>
      </w:r>
      <w:r>
        <w:rPr>
          <w:rFonts w:hint="eastAsia" w:ascii="Times New Roman" w:hAnsi="Times New Roman" w:eastAsia="方正仿宋_GBK"/>
          <w:sz w:val="32"/>
          <w:szCs w:val="32"/>
        </w:rPr>
        <w:t>压实企业安全生产主体责任，强化</w:t>
      </w:r>
      <w:r>
        <w:rPr>
          <w:rFonts w:ascii="Times New Roman" w:hAnsi="Times New Roman" w:eastAsia="方正仿宋_GBK"/>
          <w:sz w:val="32"/>
          <w:szCs w:val="32"/>
        </w:rPr>
        <w:t>行业监管</w:t>
      </w:r>
      <w:r>
        <w:rPr>
          <w:rFonts w:hint="eastAsia" w:ascii="Times New Roman" w:hAnsi="Times New Roman" w:eastAsia="方正仿宋_GBK"/>
          <w:sz w:val="32"/>
          <w:szCs w:val="32"/>
        </w:rPr>
        <w:t>、</w:t>
      </w:r>
      <w:r>
        <w:rPr>
          <w:rFonts w:ascii="Times New Roman" w:hAnsi="Times New Roman" w:eastAsia="方正仿宋_GBK"/>
          <w:sz w:val="32"/>
          <w:szCs w:val="32"/>
        </w:rPr>
        <w:t>属地</w:t>
      </w:r>
      <w:r>
        <w:rPr>
          <w:rFonts w:hint="eastAsia" w:ascii="Times New Roman" w:hAnsi="Times New Roman" w:eastAsia="方正仿宋_GBK"/>
          <w:sz w:val="32"/>
          <w:szCs w:val="32"/>
        </w:rPr>
        <w:t>监管责任</w:t>
      </w:r>
      <w:r>
        <w:rPr>
          <w:rFonts w:ascii="Times New Roman" w:hAnsi="Times New Roman" w:eastAsia="方正仿宋_GBK"/>
          <w:sz w:val="32"/>
          <w:szCs w:val="32"/>
        </w:rPr>
        <w:t>，健全跨部门铁路安全监管信息共享和联合监管工作机制</w:t>
      </w:r>
      <w:r>
        <w:rPr>
          <w:rFonts w:hint="eastAsia" w:ascii="Times New Roman" w:hAnsi="Times New Roman" w:eastAsia="方正仿宋_GBK"/>
          <w:sz w:val="32"/>
          <w:szCs w:val="32"/>
        </w:rPr>
        <w:t>，</w:t>
      </w:r>
      <w:r>
        <w:rPr>
          <w:rFonts w:ascii="Times New Roman" w:hAnsi="Times New Roman" w:eastAsia="方正仿宋_GBK"/>
          <w:sz w:val="32"/>
          <w:szCs w:val="32"/>
        </w:rPr>
        <w:t>完善铁路应急管理体系。全面推进</w:t>
      </w:r>
      <w:r>
        <w:rPr>
          <w:rFonts w:hint="eastAsia" w:ascii="Times New Roman" w:hAnsi="Times New Roman" w:eastAsia="方正仿宋_GBK"/>
          <w:sz w:val="32"/>
          <w:szCs w:val="32"/>
        </w:rPr>
        <w:t>地方铁路</w:t>
      </w:r>
      <w:r>
        <w:rPr>
          <w:rFonts w:ascii="Times New Roman" w:hAnsi="Times New Roman" w:eastAsia="方正仿宋_GBK"/>
          <w:sz w:val="32"/>
          <w:szCs w:val="32"/>
        </w:rPr>
        <w:t>安全生产</w:t>
      </w:r>
      <w:r>
        <w:rPr>
          <w:rFonts w:hint="eastAsia" w:ascii="方正仿宋_GBK" w:hAnsi="Times New Roman" w:eastAsia="方正仿宋_GBK"/>
          <w:sz w:val="32"/>
          <w:szCs w:val="32"/>
        </w:rPr>
        <w:t>“网格化、专业化、数字化、全员化、实体化、手册化”建设。紧盯</w:t>
      </w:r>
      <w:r>
        <w:rPr>
          <w:rFonts w:hint="eastAsia" w:ascii="Times New Roman" w:hAnsi="Times New Roman" w:eastAsia="方正仿宋_GBK"/>
          <w:sz w:val="32"/>
          <w:szCs w:val="32"/>
        </w:rPr>
        <w:t>规章制度落实和施工现场管控，严格事故隐患识别、报告、整改、销号的全流程闭环管理，坚决遏制重特大事故发生。发挥各级联席会议</w:t>
      </w:r>
      <w:r>
        <w:rPr>
          <w:rFonts w:hint="eastAsia" w:ascii="方正仿宋_GBK" w:hAnsi="Times New Roman" w:eastAsia="方正仿宋_GBK"/>
          <w:sz w:val="32"/>
          <w:szCs w:val="32"/>
        </w:rPr>
        <w:t>、“双段长”制作用，持续深化铁路沿线安全环境治理，加强智能巡检的</w:t>
      </w:r>
      <w:r>
        <w:rPr>
          <w:rFonts w:ascii="Times New Roman" w:hAnsi="Times New Roman" w:eastAsia="方正仿宋_GBK"/>
          <w:sz w:val="32"/>
          <w:szCs w:val="32"/>
        </w:rPr>
        <w:t>应用和数据融合分析，</w:t>
      </w:r>
      <w:r>
        <w:rPr>
          <w:rFonts w:hint="eastAsia" w:ascii="Times New Roman" w:hAnsi="Times New Roman" w:eastAsia="方正仿宋_GBK"/>
          <w:sz w:val="32"/>
          <w:szCs w:val="32"/>
        </w:rPr>
        <w:t>加快</w:t>
      </w:r>
      <w:r>
        <w:rPr>
          <w:rFonts w:ascii="Times New Roman" w:hAnsi="Times New Roman" w:eastAsia="方正仿宋_GBK"/>
          <w:sz w:val="32"/>
          <w:szCs w:val="32"/>
        </w:rPr>
        <w:t>安全</w:t>
      </w:r>
      <w:r>
        <w:rPr>
          <w:rFonts w:hint="eastAsia" w:ascii="Times New Roman" w:hAnsi="Times New Roman" w:eastAsia="方正仿宋_GBK"/>
          <w:sz w:val="32"/>
          <w:szCs w:val="32"/>
        </w:rPr>
        <w:t>风险</w:t>
      </w:r>
      <w:r>
        <w:rPr>
          <w:rFonts w:ascii="Times New Roman" w:hAnsi="Times New Roman" w:eastAsia="方正仿宋_GBK"/>
          <w:sz w:val="32"/>
          <w:szCs w:val="32"/>
        </w:rPr>
        <w:t>监测预警</w:t>
      </w:r>
      <w:r>
        <w:rPr>
          <w:rFonts w:hint="eastAsia" w:ascii="Times New Roman" w:hAnsi="Times New Roman" w:eastAsia="方正仿宋_GBK"/>
          <w:sz w:val="32"/>
          <w:szCs w:val="32"/>
        </w:rPr>
        <w:t>系统应用和升级改造。</w:t>
      </w:r>
    </w:p>
    <w:p w14:paraId="6D90A80E">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bCs/>
          <w:sz w:val="32"/>
          <w:szCs w:val="32"/>
        </w:rPr>
        <w:t>（十八）实施创新驱动与绿色发展。</w:t>
      </w:r>
      <w:r>
        <w:rPr>
          <w:rFonts w:hint="eastAsia" w:ascii="Times New Roman" w:hAnsi="Times New Roman" w:eastAsia="方正仿宋_GBK"/>
          <w:sz w:val="32"/>
          <w:szCs w:val="32"/>
        </w:rPr>
        <w:t>以科技创新赋能为引领，充分发挥铁路科技创新联合体作用，大力推进铁路产业发展，加快形成新质生产力，</w:t>
      </w:r>
      <w:r>
        <w:rPr>
          <w:rFonts w:ascii="Times New Roman" w:hAnsi="Times New Roman" w:eastAsia="方正仿宋_GBK"/>
          <w:sz w:val="32"/>
          <w:szCs w:val="32"/>
        </w:rPr>
        <w:t>鼓励本土</w:t>
      </w:r>
      <w:r>
        <w:rPr>
          <w:rFonts w:hint="eastAsia" w:ascii="Times New Roman" w:hAnsi="Times New Roman" w:eastAsia="方正仿宋_GBK"/>
          <w:sz w:val="32"/>
          <w:szCs w:val="32"/>
        </w:rPr>
        <w:t>机构和企业推进</w:t>
      </w:r>
      <w:r>
        <w:rPr>
          <w:rFonts w:ascii="Times New Roman" w:hAnsi="Times New Roman" w:eastAsia="方正仿宋_GBK"/>
          <w:sz w:val="32"/>
          <w:szCs w:val="32"/>
        </w:rPr>
        <w:t>关键核心技术攻关和新车型、新设备</w:t>
      </w:r>
      <w:r>
        <w:rPr>
          <w:rFonts w:hint="eastAsia" w:ascii="Times New Roman" w:hAnsi="Times New Roman" w:eastAsia="方正仿宋_GBK"/>
          <w:sz w:val="32"/>
          <w:szCs w:val="32"/>
        </w:rPr>
        <w:t>的</w:t>
      </w:r>
      <w:r>
        <w:rPr>
          <w:rFonts w:ascii="Times New Roman" w:hAnsi="Times New Roman" w:eastAsia="方正仿宋_GBK"/>
          <w:sz w:val="32"/>
          <w:szCs w:val="32"/>
        </w:rPr>
        <w:t>研制开发。</w:t>
      </w:r>
      <w:r>
        <w:rPr>
          <w:rFonts w:hint="eastAsia" w:ascii="Times New Roman" w:hAnsi="Times New Roman" w:eastAsia="方正仿宋_GBK"/>
          <w:sz w:val="32"/>
          <w:szCs w:val="32"/>
        </w:rPr>
        <w:t>推动人工智能在铁路领域的创新应用，积极打造智能建造、智能运维、智能调度、智能服务等</w:t>
      </w:r>
      <w:r>
        <w:rPr>
          <w:rFonts w:hint="eastAsia" w:ascii="方正仿宋_GBK" w:hAnsi="Times New Roman" w:eastAsia="方正仿宋_GBK"/>
          <w:sz w:val="32"/>
          <w:szCs w:val="32"/>
        </w:rPr>
        <w:t>“人工智能+铁路”应用场景。强化生态保护和资源节约集约利</w:t>
      </w:r>
      <w:r>
        <w:rPr>
          <w:rFonts w:hint="eastAsia" w:ascii="Times New Roman" w:hAnsi="Times New Roman" w:eastAsia="方正仿宋_GBK"/>
          <w:sz w:val="32"/>
          <w:szCs w:val="32"/>
        </w:rPr>
        <w:t>用，推动绿色铁路建设、绿色装备运用、绿色运营维护，</w:t>
      </w:r>
      <w:r>
        <w:rPr>
          <w:rFonts w:ascii="Times New Roman" w:hAnsi="Times New Roman" w:eastAsia="方正仿宋_GBK"/>
          <w:sz w:val="32"/>
          <w:szCs w:val="32"/>
        </w:rPr>
        <w:t>深化铁路交能融合发展，探索铁路</w:t>
      </w:r>
      <w:r>
        <w:rPr>
          <w:rFonts w:hint="eastAsia" w:ascii="Times New Roman" w:hAnsi="Times New Roman" w:eastAsia="方正仿宋_GBK"/>
          <w:sz w:val="32"/>
          <w:szCs w:val="32"/>
        </w:rPr>
        <w:t>专用虚拟电网、</w:t>
      </w:r>
      <w:r>
        <w:rPr>
          <w:rFonts w:ascii="Times New Roman" w:hAnsi="Times New Roman" w:eastAsia="方正仿宋_GBK"/>
          <w:sz w:val="32"/>
          <w:szCs w:val="32"/>
        </w:rPr>
        <w:t>近零碳站房、绿色智能枢纽建设</w:t>
      </w:r>
      <w:r>
        <w:rPr>
          <w:rFonts w:hint="eastAsia" w:ascii="Times New Roman" w:hAnsi="Times New Roman" w:eastAsia="方正仿宋_GBK"/>
          <w:sz w:val="32"/>
          <w:szCs w:val="32"/>
        </w:rPr>
        <w:t>和</w:t>
      </w:r>
      <w:r>
        <w:rPr>
          <w:rFonts w:ascii="Times New Roman" w:hAnsi="Times New Roman" w:eastAsia="方正仿宋_GBK"/>
          <w:sz w:val="32"/>
          <w:szCs w:val="32"/>
        </w:rPr>
        <w:t>绿色铁路认证标准等研究应用。</w:t>
      </w:r>
    </w:p>
    <w:p w14:paraId="618C0171">
      <w:pPr>
        <w:pStyle w:val="2"/>
        <w:spacing w:after="0"/>
        <w:rPr>
          <w:rFonts w:ascii="Times New Roman" w:hAnsi="Times New Roman"/>
        </w:rPr>
      </w:pPr>
      <w:r>
        <w:rPr>
          <w:rFonts w:ascii="Times New Roman" w:hAnsi="Times New Roman"/>
        </w:rPr>
        <w:t>七、建立可持续发展机制</w:t>
      </w:r>
    </w:p>
    <w:p w14:paraId="53203CAB">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（十九）创新铁路投融资模式。</w:t>
      </w:r>
      <w:r>
        <w:rPr>
          <w:rFonts w:hint="eastAsia" w:ascii="Times New Roman" w:hAnsi="Times New Roman" w:eastAsia="方正仿宋_GBK"/>
          <w:iCs/>
          <w:sz w:val="32"/>
          <w:szCs w:val="32"/>
        </w:rPr>
        <w:t>全力</w:t>
      </w:r>
      <w:r>
        <w:rPr>
          <w:rFonts w:ascii="Times New Roman" w:hAnsi="Times New Roman" w:eastAsia="方正仿宋_GBK"/>
          <w:iCs/>
          <w:sz w:val="32"/>
          <w:szCs w:val="32"/>
        </w:rPr>
        <w:t>争取中央预算资金的支</w:t>
      </w:r>
      <w:r>
        <w:rPr>
          <w:rFonts w:ascii="Times New Roman" w:hAnsi="Times New Roman" w:eastAsia="方正仿宋_GBK"/>
          <w:sz w:val="32"/>
          <w:szCs w:val="32"/>
        </w:rPr>
        <w:t>持，地方财政</w:t>
      </w:r>
      <w:r>
        <w:rPr>
          <w:rFonts w:hint="eastAsia" w:ascii="Times New Roman" w:hAnsi="Times New Roman" w:eastAsia="方正仿宋_GBK"/>
          <w:sz w:val="32"/>
          <w:szCs w:val="32"/>
        </w:rPr>
        <w:t>积极</w:t>
      </w:r>
      <w:r>
        <w:rPr>
          <w:rFonts w:ascii="Times New Roman" w:hAnsi="Times New Roman" w:eastAsia="方正仿宋_GBK"/>
          <w:sz w:val="32"/>
          <w:szCs w:val="32"/>
        </w:rPr>
        <w:t>安排铁路建设资本金，保障项目资金需求。用足用好超长期特别国债、地方政府专项债、政策性金融工具</w:t>
      </w:r>
      <w:r>
        <w:rPr>
          <w:rFonts w:hint="eastAsia" w:ascii="Times New Roman" w:hAnsi="Times New Roman" w:eastAsia="方正仿宋_GBK"/>
          <w:sz w:val="32"/>
          <w:szCs w:val="32"/>
        </w:rPr>
        <w:t>等</w:t>
      </w:r>
      <w:r>
        <w:rPr>
          <w:rFonts w:ascii="Times New Roman" w:hAnsi="Times New Roman" w:eastAsia="方正仿宋_GBK"/>
          <w:sz w:val="32"/>
          <w:szCs w:val="32"/>
        </w:rPr>
        <w:t>，充分发挥政策性资金对铁路项目资本金的支持作用。规范</w:t>
      </w:r>
      <w:r>
        <w:rPr>
          <w:rFonts w:hint="eastAsia" w:ascii="Times New Roman" w:hAnsi="Times New Roman" w:eastAsia="方正仿宋_GBK"/>
          <w:sz w:val="32"/>
          <w:szCs w:val="32"/>
        </w:rPr>
        <w:t>实施</w:t>
      </w:r>
      <w:r>
        <w:rPr>
          <w:rFonts w:ascii="Times New Roman" w:hAnsi="Times New Roman" w:eastAsia="方正仿宋_GBK"/>
          <w:sz w:val="32"/>
          <w:szCs w:val="32"/>
        </w:rPr>
        <w:t>政府和社会资本合作新机制，探</w:t>
      </w:r>
      <w:r>
        <w:rPr>
          <w:rFonts w:hint="eastAsia" w:ascii="方正仿宋_GBK" w:hAnsi="Times New Roman" w:eastAsia="方正仿宋_GBK"/>
          <w:sz w:val="32"/>
          <w:szCs w:val="32"/>
        </w:rPr>
        <w:t>索“施工+股权”等</w:t>
      </w:r>
      <w:r>
        <w:rPr>
          <w:rFonts w:ascii="Times New Roman" w:hAnsi="Times New Roman" w:eastAsia="方正仿宋_GBK"/>
          <w:sz w:val="32"/>
          <w:szCs w:val="32"/>
        </w:rPr>
        <w:t>模式，鼓励民营企业参与铁路建设运营。</w:t>
      </w:r>
      <w:r>
        <w:rPr>
          <w:rFonts w:hint="eastAsia" w:ascii="Times New Roman" w:hAnsi="Times New Roman" w:eastAsia="方正仿宋_GBK"/>
          <w:sz w:val="32"/>
          <w:szCs w:val="32"/>
        </w:rPr>
        <w:t>通过</w:t>
      </w:r>
      <w:r>
        <w:rPr>
          <w:rFonts w:ascii="Times New Roman" w:hAnsi="Times New Roman" w:eastAsia="方正仿宋_GBK"/>
          <w:sz w:val="32"/>
          <w:szCs w:val="32"/>
        </w:rPr>
        <w:t>推进资产证券化</w:t>
      </w:r>
      <w:r>
        <w:rPr>
          <w:rFonts w:hint="eastAsia" w:ascii="Times New Roman" w:hAnsi="Times New Roman" w:eastAsia="方正仿宋_GBK"/>
          <w:sz w:val="32"/>
          <w:szCs w:val="32"/>
        </w:rPr>
        <w:t>、</w:t>
      </w:r>
      <w:r>
        <w:rPr>
          <w:rFonts w:ascii="Times New Roman" w:hAnsi="Times New Roman" w:eastAsia="方正仿宋_GBK"/>
          <w:sz w:val="32"/>
          <w:szCs w:val="32"/>
        </w:rPr>
        <w:t>开展不动产投资信托基金（REITs）试点</w:t>
      </w:r>
      <w:r>
        <w:rPr>
          <w:rFonts w:hint="eastAsia" w:ascii="Times New Roman" w:hAnsi="Times New Roman" w:eastAsia="方正仿宋_GBK"/>
          <w:sz w:val="32"/>
          <w:szCs w:val="32"/>
        </w:rPr>
        <w:t>等方式</w:t>
      </w:r>
      <w:r>
        <w:rPr>
          <w:rFonts w:ascii="Times New Roman" w:hAnsi="Times New Roman" w:eastAsia="方正仿宋_GBK"/>
          <w:sz w:val="32"/>
          <w:szCs w:val="32"/>
        </w:rPr>
        <w:t>，构建</w:t>
      </w:r>
      <w:r>
        <w:rPr>
          <w:rFonts w:hint="eastAsia" w:ascii="方正仿宋_GBK" w:hAnsi="Times New Roman" w:eastAsia="方正仿宋_GBK"/>
          <w:sz w:val="32"/>
          <w:szCs w:val="32"/>
        </w:rPr>
        <w:t>“建设—运营—开发—增值”良性</w:t>
      </w:r>
      <w:r>
        <w:rPr>
          <w:rFonts w:ascii="Times New Roman" w:hAnsi="Times New Roman" w:eastAsia="方正仿宋_GBK"/>
          <w:sz w:val="32"/>
          <w:szCs w:val="32"/>
        </w:rPr>
        <w:t>循环的可持续发展模式。</w:t>
      </w:r>
    </w:p>
    <w:p w14:paraId="16C44630">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（二十）推进土地综合开发。</w:t>
      </w:r>
      <w:r>
        <w:rPr>
          <w:rFonts w:ascii="Times New Roman" w:hAnsi="Times New Roman" w:eastAsia="方正仿宋_GBK"/>
          <w:sz w:val="32"/>
          <w:szCs w:val="32"/>
        </w:rPr>
        <w:t>支持省级铁路项目投资主体与沿线市、县（市、区）共同组建综合开发公司，通过市场化方式开展铁路沿线土地综合</w:t>
      </w:r>
      <w:r>
        <w:rPr>
          <w:rFonts w:ascii="Times New Roman" w:hAnsi="Times New Roman" w:eastAsia="方正仿宋_GBK"/>
          <w:sz w:val="32"/>
          <w:szCs w:val="32"/>
          <w:highlight w:val="none"/>
        </w:rPr>
        <w:t>开发。铁路</w:t>
      </w:r>
      <w:r>
        <w:rPr>
          <w:rFonts w:hint="eastAsia" w:ascii="Times New Roman" w:hAnsi="Times New Roman" w:eastAsia="方正仿宋_GBK"/>
          <w:sz w:val="32"/>
          <w:szCs w:val="32"/>
          <w:highlight w:val="none"/>
        </w:rPr>
        <w:t>项目</w:t>
      </w:r>
      <w:r>
        <w:rPr>
          <w:rFonts w:ascii="Times New Roman" w:hAnsi="Times New Roman" w:eastAsia="方正仿宋_GBK"/>
          <w:sz w:val="32"/>
          <w:szCs w:val="32"/>
          <w:highlight w:val="none"/>
        </w:rPr>
        <w:t>沿线市、县（市、区）人民政府应积极保障综合开发的用地需求，将</w:t>
      </w:r>
      <w:r>
        <w:rPr>
          <w:rFonts w:hint="eastAsia" w:ascii="Times New Roman" w:hAnsi="Times New Roman" w:eastAsia="方正仿宋_GBK"/>
          <w:sz w:val="32"/>
          <w:szCs w:val="32"/>
          <w:highlight w:val="none"/>
        </w:rPr>
        <w:t>项目</w:t>
      </w:r>
      <w:r>
        <w:rPr>
          <w:rFonts w:ascii="Times New Roman" w:hAnsi="Times New Roman" w:eastAsia="方正仿宋_GBK"/>
          <w:sz w:val="32"/>
          <w:szCs w:val="32"/>
          <w:highlight w:val="none"/>
        </w:rPr>
        <w:t>用地</w:t>
      </w:r>
      <w:r>
        <w:rPr>
          <w:rFonts w:hint="eastAsia" w:ascii="Times New Roman" w:hAnsi="Times New Roman" w:eastAsia="方正仿宋_GBK"/>
          <w:sz w:val="32"/>
          <w:szCs w:val="32"/>
          <w:highlight w:val="none"/>
        </w:rPr>
        <w:t>统筹</w:t>
      </w:r>
      <w:r>
        <w:rPr>
          <w:rFonts w:ascii="Times New Roman" w:hAnsi="Times New Roman" w:eastAsia="方正仿宋_GBK"/>
          <w:sz w:val="32"/>
          <w:szCs w:val="32"/>
          <w:highlight w:val="none"/>
        </w:rPr>
        <w:t>纳入国土空间规划。利用铁路项目红线范围内的用地进行</w:t>
      </w:r>
      <w:r>
        <w:rPr>
          <w:rFonts w:hint="eastAsia" w:ascii="Times New Roman" w:hAnsi="Times New Roman" w:eastAsia="方正仿宋_GBK"/>
          <w:sz w:val="32"/>
          <w:szCs w:val="32"/>
          <w:highlight w:val="none"/>
        </w:rPr>
        <w:t>立体</w:t>
      </w:r>
      <w:r>
        <w:rPr>
          <w:rFonts w:ascii="Times New Roman" w:hAnsi="Times New Roman" w:eastAsia="方正仿宋_GBK"/>
          <w:sz w:val="32"/>
          <w:szCs w:val="32"/>
          <w:highlight w:val="none"/>
        </w:rPr>
        <w:t>空间开发的，</w:t>
      </w:r>
      <w:r>
        <w:rPr>
          <w:rFonts w:hint="eastAsia" w:ascii="Times New Roman" w:hAnsi="Times New Roman" w:eastAsia="方正仿宋_GBK"/>
          <w:sz w:val="32"/>
          <w:szCs w:val="32"/>
          <w:highlight w:val="none"/>
        </w:rPr>
        <w:t>支持</w:t>
      </w:r>
      <w:r>
        <w:rPr>
          <w:rFonts w:ascii="Times New Roman" w:hAnsi="Times New Roman" w:eastAsia="方正仿宋_GBK"/>
          <w:sz w:val="32"/>
          <w:szCs w:val="32"/>
          <w:highlight w:val="none"/>
        </w:rPr>
        <w:t>分层设立建设用地使用权。铁路企业依法取得的划拨用地，因转让或改变用途</w:t>
      </w:r>
      <w:r>
        <w:rPr>
          <w:rFonts w:hint="eastAsia" w:ascii="Times New Roman" w:hAnsi="Times New Roman" w:eastAsia="方正仿宋_GBK"/>
          <w:sz w:val="32"/>
          <w:szCs w:val="32"/>
          <w:highlight w:val="none"/>
        </w:rPr>
        <w:t>不再符合《划拨用地目录》的，</w:t>
      </w:r>
      <w:r>
        <w:rPr>
          <w:rFonts w:ascii="Times New Roman" w:hAnsi="Times New Roman" w:eastAsia="方正仿宋_GBK"/>
          <w:sz w:val="32"/>
          <w:szCs w:val="32"/>
          <w:highlight w:val="none"/>
        </w:rPr>
        <w:t>可</w:t>
      </w:r>
      <w:r>
        <w:rPr>
          <w:rFonts w:hint="eastAsia" w:ascii="Times New Roman" w:hAnsi="Times New Roman" w:eastAsia="方正仿宋_GBK"/>
          <w:sz w:val="32"/>
          <w:szCs w:val="32"/>
          <w:highlight w:val="none"/>
        </w:rPr>
        <w:t>依法</w:t>
      </w:r>
      <w:r>
        <w:rPr>
          <w:rFonts w:ascii="Times New Roman" w:hAnsi="Times New Roman" w:eastAsia="方正仿宋_GBK"/>
          <w:sz w:val="32"/>
          <w:szCs w:val="32"/>
          <w:highlight w:val="none"/>
        </w:rPr>
        <w:t>采取协议方式办理用地手续，协议出让</w:t>
      </w:r>
      <w:r>
        <w:rPr>
          <w:rFonts w:hint="eastAsia" w:ascii="Times New Roman" w:hAnsi="Times New Roman" w:eastAsia="方正仿宋_GBK"/>
          <w:sz w:val="32"/>
          <w:szCs w:val="32"/>
          <w:highlight w:val="none"/>
        </w:rPr>
        <w:t>应缴纳的</w:t>
      </w:r>
      <w:r>
        <w:rPr>
          <w:rFonts w:ascii="Times New Roman" w:hAnsi="Times New Roman" w:eastAsia="方正仿宋_GBK"/>
          <w:sz w:val="32"/>
          <w:szCs w:val="32"/>
          <w:highlight w:val="none"/>
        </w:rPr>
        <w:t>土地出让金按照</w:t>
      </w:r>
      <w:r>
        <w:rPr>
          <w:rFonts w:hint="eastAsia" w:ascii="Times New Roman" w:hAnsi="Times New Roman" w:eastAsia="方正仿宋_GBK"/>
          <w:sz w:val="32"/>
          <w:szCs w:val="32"/>
          <w:highlight w:val="none"/>
        </w:rPr>
        <w:t>拟出让时的</w:t>
      </w:r>
      <w:r>
        <w:rPr>
          <w:rFonts w:ascii="Times New Roman" w:hAnsi="Times New Roman" w:eastAsia="方正仿宋_GBK"/>
          <w:sz w:val="32"/>
          <w:szCs w:val="32"/>
          <w:highlight w:val="none"/>
        </w:rPr>
        <w:t>新土地使用条件下</w:t>
      </w:r>
      <w:r>
        <w:rPr>
          <w:rFonts w:hint="eastAsia" w:ascii="Times New Roman" w:hAnsi="Times New Roman" w:eastAsia="方正仿宋_GBK"/>
          <w:sz w:val="32"/>
          <w:szCs w:val="32"/>
          <w:highlight w:val="none"/>
        </w:rPr>
        <w:t>出让土地使用权</w:t>
      </w:r>
      <w:r>
        <w:rPr>
          <w:rFonts w:ascii="Times New Roman" w:hAnsi="Times New Roman" w:eastAsia="方正仿宋_GBK"/>
          <w:sz w:val="32"/>
          <w:szCs w:val="32"/>
          <w:highlight w:val="none"/>
        </w:rPr>
        <w:t>市场</w:t>
      </w:r>
      <w:r>
        <w:rPr>
          <w:rFonts w:hint="eastAsia" w:ascii="Times New Roman" w:hAnsi="Times New Roman" w:eastAsia="方正仿宋_GBK"/>
          <w:sz w:val="32"/>
          <w:szCs w:val="32"/>
          <w:highlight w:val="none"/>
        </w:rPr>
        <w:t>价格</w:t>
      </w:r>
      <w:r>
        <w:rPr>
          <w:rFonts w:ascii="Times New Roman" w:hAnsi="Times New Roman" w:eastAsia="方正仿宋_GBK"/>
          <w:sz w:val="32"/>
          <w:szCs w:val="32"/>
          <w:highlight w:val="none"/>
        </w:rPr>
        <w:t>与</w:t>
      </w:r>
      <w:r>
        <w:rPr>
          <w:rFonts w:hint="eastAsia" w:ascii="Times New Roman" w:hAnsi="Times New Roman" w:eastAsia="方正仿宋_GBK"/>
          <w:sz w:val="32"/>
          <w:szCs w:val="32"/>
          <w:highlight w:val="none"/>
        </w:rPr>
        <w:t>拟出让时的</w:t>
      </w:r>
      <w:r>
        <w:rPr>
          <w:rFonts w:ascii="Times New Roman" w:hAnsi="Times New Roman" w:eastAsia="方正仿宋_GBK"/>
          <w:sz w:val="32"/>
          <w:szCs w:val="32"/>
          <w:highlight w:val="none"/>
        </w:rPr>
        <w:t>原土地使用条件下</w:t>
      </w:r>
      <w:r>
        <w:rPr>
          <w:rFonts w:hint="eastAsia" w:ascii="Times New Roman" w:hAnsi="Times New Roman" w:eastAsia="方正仿宋_GBK"/>
          <w:sz w:val="32"/>
          <w:szCs w:val="32"/>
          <w:highlight w:val="none"/>
        </w:rPr>
        <w:t>划拨土地使用权权益价格</w:t>
      </w:r>
      <w:r>
        <w:rPr>
          <w:rFonts w:ascii="Times New Roman" w:hAnsi="Times New Roman" w:eastAsia="方正仿宋_GBK"/>
          <w:sz w:val="32"/>
          <w:szCs w:val="32"/>
          <w:highlight w:val="none"/>
        </w:rPr>
        <w:t>差额的70%核定。</w:t>
      </w:r>
    </w:p>
    <w:p w14:paraId="02C55FA8">
      <w:pPr>
        <w:spacing w:after="0" w:line="590" w:lineRule="exact"/>
        <w:ind w:firstLine="643" w:firstLineChars="200"/>
        <w:rPr>
          <w:rFonts w:ascii="Times New Roman" w:hAnsi="Times New Roman" w:eastAsia="方正仿宋_GBK"/>
          <w:bCs/>
          <w:sz w:val="32"/>
          <w:szCs w:val="32"/>
        </w:rPr>
      </w:pPr>
      <w:r>
        <w:rPr>
          <w:rFonts w:hint="eastAsia" w:ascii="方正楷体_GBK" w:hAnsi="Times New Roman" w:eastAsia="方正楷体_GBK"/>
          <w:b/>
          <w:sz w:val="32"/>
          <w:szCs w:val="32"/>
        </w:rPr>
        <w:t>（二十一）提升铁路经营效益。</w:t>
      </w:r>
      <w:r>
        <w:rPr>
          <w:rFonts w:ascii="Times New Roman" w:hAnsi="Times New Roman" w:eastAsia="方正仿宋_GBK"/>
          <w:bCs/>
          <w:sz w:val="32"/>
          <w:szCs w:val="32"/>
        </w:rPr>
        <w:t>建立健全</w:t>
      </w:r>
      <w:r>
        <w:rPr>
          <w:rFonts w:hint="eastAsia" w:ascii="Times New Roman" w:hAnsi="Times New Roman" w:eastAsia="方正仿宋_GBK"/>
          <w:bCs/>
          <w:sz w:val="32"/>
          <w:szCs w:val="32"/>
        </w:rPr>
        <w:t>既有铁路</w:t>
      </w:r>
      <w:r>
        <w:rPr>
          <w:rFonts w:ascii="Times New Roman" w:hAnsi="Times New Roman" w:eastAsia="方正仿宋_GBK"/>
          <w:bCs/>
          <w:sz w:val="32"/>
          <w:szCs w:val="32"/>
        </w:rPr>
        <w:t>资源开发利用管理体系，探索布局新业态新模式，提升</w:t>
      </w:r>
      <w:r>
        <w:rPr>
          <w:rFonts w:hint="eastAsia" w:ascii="Times New Roman" w:hAnsi="Times New Roman" w:eastAsia="方正仿宋_GBK"/>
          <w:bCs/>
          <w:sz w:val="32"/>
          <w:szCs w:val="32"/>
        </w:rPr>
        <w:t>铁路</w:t>
      </w:r>
      <w:r>
        <w:rPr>
          <w:rFonts w:ascii="Times New Roman" w:hAnsi="Times New Roman" w:eastAsia="方正仿宋_GBK"/>
          <w:bCs/>
          <w:sz w:val="32"/>
          <w:szCs w:val="32"/>
        </w:rPr>
        <w:t>资产质量和规模效益</w:t>
      </w:r>
      <w:r>
        <w:rPr>
          <w:rFonts w:hint="eastAsia" w:ascii="Times New Roman" w:hAnsi="Times New Roman" w:eastAsia="方正仿宋_GBK"/>
          <w:bCs/>
          <w:sz w:val="32"/>
          <w:szCs w:val="32"/>
        </w:rPr>
        <w:t>，</w:t>
      </w:r>
      <w:r>
        <w:rPr>
          <w:rFonts w:ascii="Times New Roman" w:hAnsi="Times New Roman" w:eastAsia="方正仿宋_GBK"/>
          <w:bCs/>
          <w:sz w:val="32"/>
          <w:szCs w:val="32"/>
        </w:rPr>
        <w:t>形成存量资产与新增投资的良性循环。</w:t>
      </w:r>
      <w:r>
        <w:rPr>
          <w:rFonts w:hint="eastAsia" w:ascii="Times New Roman" w:hAnsi="Times New Roman" w:eastAsia="方正仿宋_GBK"/>
          <w:bCs/>
          <w:sz w:val="32"/>
          <w:szCs w:val="32"/>
        </w:rPr>
        <w:t>探索闲置设施和铁路货运场站盘活利用，</w:t>
      </w:r>
      <w:r>
        <w:rPr>
          <w:rFonts w:ascii="Times New Roman" w:hAnsi="Times New Roman" w:eastAsia="方正仿宋_GBK"/>
          <w:bCs/>
          <w:sz w:val="32"/>
          <w:szCs w:val="32"/>
        </w:rPr>
        <w:t>实施重点</w:t>
      </w:r>
      <w:r>
        <w:rPr>
          <w:rFonts w:hint="eastAsia" w:ascii="Times New Roman" w:hAnsi="Times New Roman" w:eastAsia="方正仿宋_GBK"/>
          <w:bCs/>
          <w:sz w:val="32"/>
          <w:szCs w:val="32"/>
        </w:rPr>
        <w:t>客</w:t>
      </w:r>
      <w:r>
        <w:rPr>
          <w:rFonts w:ascii="Times New Roman" w:hAnsi="Times New Roman" w:eastAsia="方正仿宋_GBK"/>
          <w:bCs/>
          <w:sz w:val="32"/>
          <w:szCs w:val="32"/>
        </w:rPr>
        <w:t>站商业升级，推出</w:t>
      </w:r>
      <w:r>
        <w:rPr>
          <w:rFonts w:hint="eastAsia" w:ascii="方正仿宋_GBK" w:hAnsi="Times New Roman" w:eastAsia="方正仿宋_GBK"/>
          <w:bCs/>
          <w:sz w:val="32"/>
          <w:szCs w:val="32"/>
        </w:rPr>
        <w:t>“一站一品牌、一站一特色”主题商业。</w:t>
      </w:r>
      <w:r>
        <w:rPr>
          <w:rFonts w:hint="eastAsia" w:ascii="方正仿宋_GBK" w:hAnsi="Times New Roman" w:eastAsia="方正仿宋_GBK"/>
          <w:sz w:val="32"/>
          <w:szCs w:val="32"/>
        </w:rPr>
        <w:t>积极落实铁路</w:t>
      </w:r>
      <w:r>
        <w:rPr>
          <w:rFonts w:hint="eastAsia" w:ascii="方正仿宋_GBK" w:hAnsi="Times New Roman" w:eastAsia="方正仿宋_GBK"/>
          <w:sz w:val="32"/>
          <w:szCs w:val="32"/>
          <w:highlight w:val="none"/>
        </w:rPr>
        <w:t>市场化改革</w:t>
      </w:r>
      <w:r>
        <w:rPr>
          <w:rFonts w:ascii="Times New Roman" w:hAnsi="Times New Roman" w:eastAsia="方正仿宋_GBK"/>
          <w:sz w:val="32"/>
          <w:szCs w:val="32"/>
          <w:highlight w:val="none"/>
        </w:rPr>
        <w:t>要求，通过挖掘潜力、增收节支等方式减少运营亏损</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制定并实施新一轮以省为主投资铁路项目的运营补亏方案</w:t>
      </w:r>
      <w:r>
        <w:rPr>
          <w:rFonts w:hint="eastAsia" w:ascii="Times New Roman" w:hAnsi="Times New Roman" w:eastAsia="方正仿宋_GBK"/>
          <w:sz w:val="32"/>
          <w:szCs w:val="32"/>
          <w:highlight w:val="none"/>
        </w:rPr>
        <w:t>。</w:t>
      </w:r>
      <w:bookmarkStart w:id="9" w:name="_GoBack"/>
      <w:bookmarkEnd w:id="9"/>
    </w:p>
    <w:p w14:paraId="68F356B1">
      <w:pPr>
        <w:pStyle w:val="2"/>
        <w:spacing w:after="0"/>
        <w:rPr>
          <w:rFonts w:ascii="Times New Roman" w:hAnsi="Times New Roman"/>
        </w:rPr>
      </w:pPr>
      <w:r>
        <w:rPr>
          <w:rFonts w:ascii="Times New Roman" w:hAnsi="Times New Roman"/>
        </w:rPr>
        <w:t>八、加强组织领导</w:t>
      </w:r>
    </w:p>
    <w:p w14:paraId="5A51BA04">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（二十二）健全组织领导机制。</w:t>
      </w:r>
      <w:r>
        <w:rPr>
          <w:rFonts w:ascii="Times New Roman" w:hAnsi="Times New Roman" w:eastAsia="方正仿宋_GBK"/>
          <w:sz w:val="32"/>
          <w:szCs w:val="32"/>
        </w:rPr>
        <w:t>进一步完善统一领导、齐抓共管、各负其责、运转高效的组织保障机制。省铁路办负责全省铁路发展重要事项</w:t>
      </w:r>
      <w:r>
        <w:rPr>
          <w:rFonts w:hint="eastAsia" w:ascii="Times New Roman" w:hAnsi="Times New Roman" w:eastAsia="方正仿宋_GBK"/>
          <w:sz w:val="32"/>
          <w:szCs w:val="32"/>
        </w:rPr>
        <w:t>的“牵头抓总”，</w:t>
      </w:r>
      <w:r>
        <w:rPr>
          <w:rFonts w:ascii="Times New Roman" w:hAnsi="Times New Roman" w:eastAsia="方正仿宋_GBK"/>
          <w:sz w:val="32"/>
          <w:szCs w:val="32"/>
        </w:rPr>
        <w:t>对省委</w:t>
      </w:r>
      <w:r>
        <w:rPr>
          <w:rFonts w:hint="eastAsia" w:ascii="Times New Roman" w:hAnsi="Times New Roman" w:eastAsia="方正仿宋_GBK"/>
          <w:sz w:val="32"/>
          <w:szCs w:val="32"/>
        </w:rPr>
        <w:t>、</w:t>
      </w:r>
      <w:r>
        <w:rPr>
          <w:rFonts w:ascii="Times New Roman" w:hAnsi="Times New Roman" w:eastAsia="方正仿宋_GBK"/>
          <w:sz w:val="32"/>
          <w:szCs w:val="32"/>
        </w:rPr>
        <w:t>省政府决策</w:t>
      </w:r>
      <w:r>
        <w:rPr>
          <w:rFonts w:hint="eastAsia" w:ascii="Times New Roman" w:hAnsi="Times New Roman" w:eastAsia="方正仿宋_GBK"/>
          <w:sz w:val="32"/>
          <w:szCs w:val="32"/>
        </w:rPr>
        <w:t>事项</w:t>
      </w:r>
      <w:r>
        <w:rPr>
          <w:rFonts w:ascii="Times New Roman" w:hAnsi="Times New Roman" w:eastAsia="方正仿宋_GBK"/>
          <w:sz w:val="32"/>
          <w:szCs w:val="32"/>
        </w:rPr>
        <w:t>进行</w:t>
      </w:r>
      <w:r>
        <w:rPr>
          <w:rFonts w:hint="eastAsia" w:ascii="Times New Roman" w:hAnsi="Times New Roman" w:eastAsia="方正仿宋_GBK"/>
          <w:sz w:val="32"/>
          <w:szCs w:val="32"/>
        </w:rPr>
        <w:t>跟踪</w:t>
      </w:r>
      <w:r>
        <w:rPr>
          <w:rFonts w:ascii="Times New Roman" w:hAnsi="Times New Roman" w:eastAsia="方正仿宋_GBK"/>
          <w:sz w:val="32"/>
          <w:szCs w:val="32"/>
        </w:rPr>
        <w:t>落实。省各职能部门各司其职，按分工做好相关工作。各地各部门要认真贯彻国家和省关于推进铁路高质量发展的决策部署，研究制定保障措施，确保各项工作取得实效。指导和支持省铁路集团完善现代企业制度，</w:t>
      </w:r>
      <w:r>
        <w:rPr>
          <w:rFonts w:hint="eastAsia" w:ascii="Times New Roman" w:hAnsi="Times New Roman" w:eastAsia="方正仿宋_GBK"/>
          <w:sz w:val="32"/>
          <w:szCs w:val="32"/>
        </w:rPr>
        <w:t>提高资源要素利用效率和经营管理水平，做深做精铁路产业链，拓展铁路关联战新产业，打造成为国内领先的省级综合铁路产业集团。</w:t>
      </w:r>
    </w:p>
    <w:p w14:paraId="0C5A03A6">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（二十三）强化对外协调。</w:t>
      </w:r>
      <w:r>
        <w:rPr>
          <w:rFonts w:ascii="Times New Roman" w:hAnsi="Times New Roman" w:eastAsia="方正仿宋_GBK"/>
          <w:sz w:val="32"/>
          <w:szCs w:val="32"/>
        </w:rPr>
        <w:t>进一步完善路地之间、相邻省（市）之间的沟通协调机制。与国家有关部委的协调，原则上由省有关部门对口衔接，各设区市在省有关部门指导下做好配合工作。与国家铁路集团的对接协调，涉及政府职能的事项由省铁路办牵头协调，涉及企业行为的事项由省铁路集团负责对接；各市、县（市、区）与国家铁路集团及所属部门、单位形成的各类纪要、协议、备忘录等，应在</w:t>
      </w:r>
      <w:r>
        <w:rPr>
          <w:rFonts w:hint="eastAsia" w:ascii="Times New Roman" w:hAnsi="Times New Roman" w:eastAsia="方正仿宋_GBK"/>
          <w:sz w:val="32"/>
          <w:szCs w:val="32"/>
        </w:rPr>
        <w:t>形成后</w:t>
      </w:r>
      <w:r>
        <w:rPr>
          <w:rFonts w:ascii="Times New Roman" w:hAnsi="Times New Roman" w:eastAsia="方正仿宋_GBK"/>
          <w:sz w:val="32"/>
          <w:szCs w:val="32"/>
        </w:rPr>
        <w:t>10个工作日内报省铁路办备案。与相邻省（市）的协调，由省发展改革委、省铁路办负责牵头</w:t>
      </w:r>
      <w:r>
        <w:rPr>
          <w:rFonts w:hint="eastAsia" w:ascii="Times New Roman" w:hAnsi="Times New Roman" w:eastAsia="方正仿宋_GBK"/>
          <w:sz w:val="32"/>
          <w:szCs w:val="32"/>
        </w:rPr>
        <w:t>会同相关部门统筹</w:t>
      </w:r>
      <w:r>
        <w:rPr>
          <w:rFonts w:ascii="Times New Roman" w:hAnsi="Times New Roman" w:eastAsia="方正仿宋_GBK"/>
          <w:sz w:val="32"/>
          <w:szCs w:val="32"/>
        </w:rPr>
        <w:t>推进。</w:t>
      </w:r>
    </w:p>
    <w:p w14:paraId="744AA2C3">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（二十四）全面加强宣传引导。</w:t>
      </w:r>
      <w:r>
        <w:rPr>
          <w:rFonts w:ascii="Times New Roman" w:hAnsi="Times New Roman" w:eastAsia="方正仿宋_GBK"/>
          <w:sz w:val="32"/>
          <w:szCs w:val="32"/>
        </w:rPr>
        <w:t>广泛宣传铁路的社会属性、经济属性和公共服务属性，主动顺应群众对</w:t>
      </w:r>
      <w:r>
        <w:rPr>
          <w:rFonts w:hint="eastAsia" w:ascii="Times New Roman" w:hAnsi="Times New Roman" w:eastAsia="方正仿宋_GBK"/>
          <w:sz w:val="32"/>
          <w:szCs w:val="32"/>
        </w:rPr>
        <w:t>铁路</w:t>
      </w:r>
      <w:r>
        <w:rPr>
          <w:rFonts w:ascii="Times New Roman" w:hAnsi="Times New Roman" w:eastAsia="方正仿宋_GBK"/>
          <w:sz w:val="32"/>
          <w:szCs w:val="32"/>
        </w:rPr>
        <w:t>出行的新需求，科学把握铁路建设的线性特点和发展规律，引导广大人民群众和社会各界对铁路项目技术标准、车站设置、建设时序的合理期待，为铁路建设发展营造良好的舆论环境。各地人民政府要落实属地责任，高度关注并及时研判处置铁路相关的各类信访事件和网络舆情，确保社会稳定。</w:t>
      </w:r>
    </w:p>
    <w:p w14:paraId="6E52FA2A">
      <w:pPr>
        <w:spacing w:after="0" w:line="590" w:lineRule="exact"/>
        <w:ind w:firstLine="643" w:firstLineChars="200"/>
        <w:rPr>
          <w:rFonts w:ascii="Times New Roman" w:hAnsi="Times New Roman" w:eastAsia="方正仿宋_GBK"/>
          <w:sz w:val="32"/>
          <w:szCs w:val="32"/>
        </w:rPr>
      </w:pPr>
      <w:r>
        <w:rPr>
          <w:rFonts w:hint="eastAsia" w:ascii="方正楷体_GBK" w:hAnsi="Times New Roman" w:eastAsia="方正楷体_GBK"/>
          <w:b/>
          <w:sz w:val="32"/>
          <w:szCs w:val="32"/>
        </w:rPr>
        <w:t>（二十五）加强风险防控</w:t>
      </w:r>
      <w:r>
        <w:rPr>
          <w:rFonts w:hint="eastAsia" w:ascii="方正楷体_GBK" w:hAnsi="Times New Roman" w:eastAsia="方正楷体_GBK"/>
          <w:sz w:val="32"/>
          <w:szCs w:val="32"/>
        </w:rPr>
        <w:t>。</w:t>
      </w:r>
      <w:r>
        <w:rPr>
          <w:rFonts w:hint="eastAsia" w:ascii="Times New Roman" w:hAnsi="Times New Roman" w:eastAsia="方正仿宋_GBK"/>
          <w:sz w:val="32"/>
          <w:szCs w:val="32"/>
        </w:rPr>
        <w:t>完善地方铁路工程建设全覆盖、全流程、全要素监督管理体系</w:t>
      </w:r>
      <w:r>
        <w:rPr>
          <w:rFonts w:ascii="Times New Roman" w:hAnsi="Times New Roman" w:eastAsia="方正仿宋_GBK"/>
          <w:sz w:val="32"/>
          <w:szCs w:val="32"/>
        </w:rPr>
        <w:t>。严格落实廉政建设责任制，加强对重点部门和环节的监督管理。各级审计、财政等部门要加强对各类资金的监管。加强铁路工程建设市场招投标管理，强化项目成本核算。</w:t>
      </w:r>
      <w:r>
        <w:rPr>
          <w:rFonts w:hint="eastAsia" w:ascii="Times New Roman" w:hAnsi="Times New Roman" w:eastAsia="方正仿宋_GBK"/>
          <w:sz w:val="32"/>
          <w:szCs w:val="32"/>
          <w:lang w:val="en-US" w:eastAsia="zh-CN"/>
        </w:rPr>
        <w:t>严防新增地方政府隐性债务</w:t>
      </w:r>
      <w:r>
        <w:rPr>
          <w:rFonts w:ascii="Times New Roman" w:hAnsi="Times New Roman" w:eastAsia="方正仿宋_GBK"/>
          <w:sz w:val="32"/>
          <w:szCs w:val="32"/>
        </w:rPr>
        <w:t>。</w:t>
      </w:r>
    </w:p>
    <w:p w14:paraId="005409AF">
      <w:pPr>
        <w:spacing w:after="0"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本意见适用于2026年**月**日之后批复初步设计的项目；耕地、林地指标费用计列适用于2026年**月**日后取得用地批复的项目。本意见自印发之日起实施，《省政府关于进一步加快推进铁路发展的意见》（苏政发〔2021〕39号）同时废止。</w:t>
      </w:r>
    </w:p>
    <w:p w14:paraId="33042BC2">
      <w:pPr>
        <w:spacing w:after="0" w:line="590" w:lineRule="exact"/>
        <w:ind w:firstLine="640" w:firstLineChars="200"/>
        <w:rPr>
          <w:rFonts w:ascii="Times New Roman" w:hAnsi="Times New Roman" w:eastAsia="方正仿宋_GBK"/>
          <w:sz w:val="32"/>
          <w:szCs w:val="32"/>
        </w:rPr>
      </w:pPr>
    </w:p>
    <w:sectPr>
      <w:footerReference r:id="rId5" w:type="default"/>
      <w:pgSz w:w="11906" w:h="16838"/>
      <w:pgMar w:top="2098" w:right="1531" w:bottom="1984" w:left="1531"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74DF">
    <w:pPr>
      <w:pStyle w:val="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1</w:t>
    </w:r>
    <w:r>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39D"/>
    <w:rsid w:val="0000714E"/>
    <w:rsid w:val="00010C43"/>
    <w:rsid w:val="00017C8A"/>
    <w:rsid w:val="00024DAA"/>
    <w:rsid w:val="000278E7"/>
    <w:rsid w:val="00041DDB"/>
    <w:rsid w:val="00042535"/>
    <w:rsid w:val="00050938"/>
    <w:rsid w:val="00063500"/>
    <w:rsid w:val="000705C7"/>
    <w:rsid w:val="00074F1B"/>
    <w:rsid w:val="00080BD6"/>
    <w:rsid w:val="00082222"/>
    <w:rsid w:val="00090B0C"/>
    <w:rsid w:val="000B30C2"/>
    <w:rsid w:val="000B4E21"/>
    <w:rsid w:val="000B5939"/>
    <w:rsid w:val="000C3C30"/>
    <w:rsid w:val="000C607F"/>
    <w:rsid w:val="000E2916"/>
    <w:rsid w:val="000E69A6"/>
    <w:rsid w:val="000F14DB"/>
    <w:rsid w:val="000F4FEB"/>
    <w:rsid w:val="001031AD"/>
    <w:rsid w:val="001102AB"/>
    <w:rsid w:val="00110707"/>
    <w:rsid w:val="0011703C"/>
    <w:rsid w:val="001239A9"/>
    <w:rsid w:val="00125900"/>
    <w:rsid w:val="001263F5"/>
    <w:rsid w:val="00127125"/>
    <w:rsid w:val="0013081A"/>
    <w:rsid w:val="00131279"/>
    <w:rsid w:val="0014051B"/>
    <w:rsid w:val="0014389B"/>
    <w:rsid w:val="00143B39"/>
    <w:rsid w:val="00150D17"/>
    <w:rsid w:val="00152B68"/>
    <w:rsid w:val="001538C4"/>
    <w:rsid w:val="00153B1B"/>
    <w:rsid w:val="001569C8"/>
    <w:rsid w:val="001572E5"/>
    <w:rsid w:val="0016668E"/>
    <w:rsid w:val="00167AE3"/>
    <w:rsid w:val="001800A6"/>
    <w:rsid w:val="00185538"/>
    <w:rsid w:val="00185CF5"/>
    <w:rsid w:val="0018683B"/>
    <w:rsid w:val="001943B0"/>
    <w:rsid w:val="00196862"/>
    <w:rsid w:val="001B7182"/>
    <w:rsid w:val="001D0321"/>
    <w:rsid w:val="001E1312"/>
    <w:rsid w:val="001E1CE8"/>
    <w:rsid w:val="001E53FC"/>
    <w:rsid w:val="001F1EF7"/>
    <w:rsid w:val="0020121D"/>
    <w:rsid w:val="0020215A"/>
    <w:rsid w:val="002066F0"/>
    <w:rsid w:val="00213C36"/>
    <w:rsid w:val="00240073"/>
    <w:rsid w:val="00245033"/>
    <w:rsid w:val="002613CA"/>
    <w:rsid w:val="002664AF"/>
    <w:rsid w:val="00286344"/>
    <w:rsid w:val="0029406B"/>
    <w:rsid w:val="002B5A6F"/>
    <w:rsid w:val="002B6DB9"/>
    <w:rsid w:val="002C4BB0"/>
    <w:rsid w:val="002D1A0F"/>
    <w:rsid w:val="002E0F3D"/>
    <w:rsid w:val="00311DDB"/>
    <w:rsid w:val="003132A5"/>
    <w:rsid w:val="003231FA"/>
    <w:rsid w:val="00335D10"/>
    <w:rsid w:val="0034422C"/>
    <w:rsid w:val="00345A69"/>
    <w:rsid w:val="00351353"/>
    <w:rsid w:val="00355828"/>
    <w:rsid w:val="00361536"/>
    <w:rsid w:val="00364DAC"/>
    <w:rsid w:val="00367E6D"/>
    <w:rsid w:val="00372690"/>
    <w:rsid w:val="00372A7D"/>
    <w:rsid w:val="00373585"/>
    <w:rsid w:val="0038387E"/>
    <w:rsid w:val="00386C51"/>
    <w:rsid w:val="00387C82"/>
    <w:rsid w:val="003925E8"/>
    <w:rsid w:val="003A2960"/>
    <w:rsid w:val="003C47BC"/>
    <w:rsid w:val="003D0B3F"/>
    <w:rsid w:val="003D1EF5"/>
    <w:rsid w:val="003D601C"/>
    <w:rsid w:val="003E05A5"/>
    <w:rsid w:val="003E3AFE"/>
    <w:rsid w:val="003F43A6"/>
    <w:rsid w:val="00407E84"/>
    <w:rsid w:val="00432147"/>
    <w:rsid w:val="004438A8"/>
    <w:rsid w:val="00471235"/>
    <w:rsid w:val="00471DDC"/>
    <w:rsid w:val="00473725"/>
    <w:rsid w:val="00483B1A"/>
    <w:rsid w:val="00491262"/>
    <w:rsid w:val="004A19F3"/>
    <w:rsid w:val="004A72C2"/>
    <w:rsid w:val="004B656A"/>
    <w:rsid w:val="004B7EA3"/>
    <w:rsid w:val="004C4285"/>
    <w:rsid w:val="004D2346"/>
    <w:rsid w:val="004D5FCC"/>
    <w:rsid w:val="004F0041"/>
    <w:rsid w:val="004F00B0"/>
    <w:rsid w:val="004F1F86"/>
    <w:rsid w:val="004F2C7C"/>
    <w:rsid w:val="005015D8"/>
    <w:rsid w:val="0050396F"/>
    <w:rsid w:val="00505BF7"/>
    <w:rsid w:val="00507FEF"/>
    <w:rsid w:val="005106CC"/>
    <w:rsid w:val="00520064"/>
    <w:rsid w:val="0053077A"/>
    <w:rsid w:val="00537553"/>
    <w:rsid w:val="00572520"/>
    <w:rsid w:val="00572EB6"/>
    <w:rsid w:val="00573138"/>
    <w:rsid w:val="00574077"/>
    <w:rsid w:val="005756BF"/>
    <w:rsid w:val="00576847"/>
    <w:rsid w:val="00584177"/>
    <w:rsid w:val="005917C6"/>
    <w:rsid w:val="005B07CA"/>
    <w:rsid w:val="005C3812"/>
    <w:rsid w:val="005C5C45"/>
    <w:rsid w:val="005C7A17"/>
    <w:rsid w:val="005D0681"/>
    <w:rsid w:val="005D7AC3"/>
    <w:rsid w:val="005D7E71"/>
    <w:rsid w:val="005E0164"/>
    <w:rsid w:val="005E2514"/>
    <w:rsid w:val="005E25FF"/>
    <w:rsid w:val="005E4B46"/>
    <w:rsid w:val="005E7117"/>
    <w:rsid w:val="005F52A8"/>
    <w:rsid w:val="00601913"/>
    <w:rsid w:val="00611390"/>
    <w:rsid w:val="00613018"/>
    <w:rsid w:val="006153C5"/>
    <w:rsid w:val="00615BFC"/>
    <w:rsid w:val="00625C60"/>
    <w:rsid w:val="006400C6"/>
    <w:rsid w:val="00641355"/>
    <w:rsid w:val="006414BD"/>
    <w:rsid w:val="0066740E"/>
    <w:rsid w:val="006810E0"/>
    <w:rsid w:val="006816A2"/>
    <w:rsid w:val="006856D1"/>
    <w:rsid w:val="00685904"/>
    <w:rsid w:val="00690FA8"/>
    <w:rsid w:val="00691B4C"/>
    <w:rsid w:val="00694B24"/>
    <w:rsid w:val="006A054C"/>
    <w:rsid w:val="006A15E2"/>
    <w:rsid w:val="006A3908"/>
    <w:rsid w:val="006A5C09"/>
    <w:rsid w:val="006A61E7"/>
    <w:rsid w:val="006B78D6"/>
    <w:rsid w:val="006C0A75"/>
    <w:rsid w:val="006C4835"/>
    <w:rsid w:val="006C51B6"/>
    <w:rsid w:val="006D037B"/>
    <w:rsid w:val="006E06B3"/>
    <w:rsid w:val="006E1969"/>
    <w:rsid w:val="006E19E8"/>
    <w:rsid w:val="006E398A"/>
    <w:rsid w:val="006F3150"/>
    <w:rsid w:val="0070380F"/>
    <w:rsid w:val="0070518B"/>
    <w:rsid w:val="00707E40"/>
    <w:rsid w:val="00714638"/>
    <w:rsid w:val="00730F12"/>
    <w:rsid w:val="00733CED"/>
    <w:rsid w:val="00735ED6"/>
    <w:rsid w:val="00736A27"/>
    <w:rsid w:val="007457A8"/>
    <w:rsid w:val="00745B22"/>
    <w:rsid w:val="00757D6C"/>
    <w:rsid w:val="00774118"/>
    <w:rsid w:val="007806A1"/>
    <w:rsid w:val="00783092"/>
    <w:rsid w:val="00794F2E"/>
    <w:rsid w:val="007A4676"/>
    <w:rsid w:val="007A5E40"/>
    <w:rsid w:val="007B1E2A"/>
    <w:rsid w:val="007B4210"/>
    <w:rsid w:val="007B53A4"/>
    <w:rsid w:val="007B768B"/>
    <w:rsid w:val="007C21A0"/>
    <w:rsid w:val="007C4CF2"/>
    <w:rsid w:val="007C52B0"/>
    <w:rsid w:val="007D324F"/>
    <w:rsid w:val="007D42B4"/>
    <w:rsid w:val="007E141F"/>
    <w:rsid w:val="007E36C8"/>
    <w:rsid w:val="007E7F35"/>
    <w:rsid w:val="007F2464"/>
    <w:rsid w:val="007F7D65"/>
    <w:rsid w:val="00803243"/>
    <w:rsid w:val="008043F8"/>
    <w:rsid w:val="00810C82"/>
    <w:rsid w:val="008119C7"/>
    <w:rsid w:val="00822871"/>
    <w:rsid w:val="00823481"/>
    <w:rsid w:val="008244BB"/>
    <w:rsid w:val="00827DDA"/>
    <w:rsid w:val="00831EF6"/>
    <w:rsid w:val="008321E2"/>
    <w:rsid w:val="00834820"/>
    <w:rsid w:val="008427B0"/>
    <w:rsid w:val="0084410C"/>
    <w:rsid w:val="00852C2E"/>
    <w:rsid w:val="00860E3E"/>
    <w:rsid w:val="00861815"/>
    <w:rsid w:val="00862310"/>
    <w:rsid w:val="00880839"/>
    <w:rsid w:val="008913CF"/>
    <w:rsid w:val="008928F8"/>
    <w:rsid w:val="008B2043"/>
    <w:rsid w:val="008B3585"/>
    <w:rsid w:val="008B3B99"/>
    <w:rsid w:val="008B539D"/>
    <w:rsid w:val="008B6B37"/>
    <w:rsid w:val="008C7995"/>
    <w:rsid w:val="008D7A93"/>
    <w:rsid w:val="008E0E3A"/>
    <w:rsid w:val="008E302B"/>
    <w:rsid w:val="008F05F2"/>
    <w:rsid w:val="00900187"/>
    <w:rsid w:val="0090692B"/>
    <w:rsid w:val="0092502D"/>
    <w:rsid w:val="00926B55"/>
    <w:rsid w:val="00931E14"/>
    <w:rsid w:val="00940E99"/>
    <w:rsid w:val="00947D72"/>
    <w:rsid w:val="00951903"/>
    <w:rsid w:val="009532B3"/>
    <w:rsid w:val="009536F4"/>
    <w:rsid w:val="00955873"/>
    <w:rsid w:val="00965BDF"/>
    <w:rsid w:val="00971FBD"/>
    <w:rsid w:val="0097561B"/>
    <w:rsid w:val="00977236"/>
    <w:rsid w:val="00983ABB"/>
    <w:rsid w:val="00991D99"/>
    <w:rsid w:val="009935A3"/>
    <w:rsid w:val="009A07D1"/>
    <w:rsid w:val="009A0CE7"/>
    <w:rsid w:val="009A4FE6"/>
    <w:rsid w:val="009B037C"/>
    <w:rsid w:val="009B65D0"/>
    <w:rsid w:val="009C4A59"/>
    <w:rsid w:val="009D2AEB"/>
    <w:rsid w:val="009E1054"/>
    <w:rsid w:val="009E2BF9"/>
    <w:rsid w:val="009F2869"/>
    <w:rsid w:val="009F53BB"/>
    <w:rsid w:val="009F6270"/>
    <w:rsid w:val="00A039E0"/>
    <w:rsid w:val="00A03D60"/>
    <w:rsid w:val="00A0474B"/>
    <w:rsid w:val="00A10A3D"/>
    <w:rsid w:val="00A14030"/>
    <w:rsid w:val="00A155CD"/>
    <w:rsid w:val="00A23D0E"/>
    <w:rsid w:val="00A35F28"/>
    <w:rsid w:val="00A3703B"/>
    <w:rsid w:val="00A44213"/>
    <w:rsid w:val="00A46EF4"/>
    <w:rsid w:val="00A521C5"/>
    <w:rsid w:val="00A56351"/>
    <w:rsid w:val="00A610A7"/>
    <w:rsid w:val="00A67C7A"/>
    <w:rsid w:val="00A72597"/>
    <w:rsid w:val="00A72724"/>
    <w:rsid w:val="00A75B1C"/>
    <w:rsid w:val="00A8644B"/>
    <w:rsid w:val="00A90C47"/>
    <w:rsid w:val="00A95E9C"/>
    <w:rsid w:val="00A966D3"/>
    <w:rsid w:val="00A97F61"/>
    <w:rsid w:val="00AA4589"/>
    <w:rsid w:val="00AB0683"/>
    <w:rsid w:val="00AB08F9"/>
    <w:rsid w:val="00AB2C53"/>
    <w:rsid w:val="00AC3FE9"/>
    <w:rsid w:val="00AC7965"/>
    <w:rsid w:val="00AD2697"/>
    <w:rsid w:val="00AD6171"/>
    <w:rsid w:val="00AE38A5"/>
    <w:rsid w:val="00AE3AAA"/>
    <w:rsid w:val="00AE4F54"/>
    <w:rsid w:val="00AE56D4"/>
    <w:rsid w:val="00AE7463"/>
    <w:rsid w:val="00AF2274"/>
    <w:rsid w:val="00AF5122"/>
    <w:rsid w:val="00AF660F"/>
    <w:rsid w:val="00B1074D"/>
    <w:rsid w:val="00B17332"/>
    <w:rsid w:val="00B216D1"/>
    <w:rsid w:val="00B30DDA"/>
    <w:rsid w:val="00B528F8"/>
    <w:rsid w:val="00B54864"/>
    <w:rsid w:val="00B66690"/>
    <w:rsid w:val="00B76022"/>
    <w:rsid w:val="00B826AA"/>
    <w:rsid w:val="00B96870"/>
    <w:rsid w:val="00BA143D"/>
    <w:rsid w:val="00BA3CBF"/>
    <w:rsid w:val="00BB1F91"/>
    <w:rsid w:val="00BB4632"/>
    <w:rsid w:val="00BB52D1"/>
    <w:rsid w:val="00BC7792"/>
    <w:rsid w:val="00BD11BF"/>
    <w:rsid w:val="00BD2B6D"/>
    <w:rsid w:val="00BD6D2C"/>
    <w:rsid w:val="00BE17EF"/>
    <w:rsid w:val="00BE21AC"/>
    <w:rsid w:val="00BF23ED"/>
    <w:rsid w:val="00C053F5"/>
    <w:rsid w:val="00C12E54"/>
    <w:rsid w:val="00C15534"/>
    <w:rsid w:val="00C37AA8"/>
    <w:rsid w:val="00C43076"/>
    <w:rsid w:val="00C5100B"/>
    <w:rsid w:val="00C570DA"/>
    <w:rsid w:val="00C624BC"/>
    <w:rsid w:val="00C71A20"/>
    <w:rsid w:val="00C735AA"/>
    <w:rsid w:val="00C75E27"/>
    <w:rsid w:val="00CA200C"/>
    <w:rsid w:val="00CC708A"/>
    <w:rsid w:val="00CD35D1"/>
    <w:rsid w:val="00CD367E"/>
    <w:rsid w:val="00CE0460"/>
    <w:rsid w:val="00CE6BDE"/>
    <w:rsid w:val="00CF1984"/>
    <w:rsid w:val="00CF3081"/>
    <w:rsid w:val="00CF3362"/>
    <w:rsid w:val="00CF5A54"/>
    <w:rsid w:val="00D10109"/>
    <w:rsid w:val="00D11BAA"/>
    <w:rsid w:val="00D1457C"/>
    <w:rsid w:val="00D205AF"/>
    <w:rsid w:val="00D22D89"/>
    <w:rsid w:val="00D25BB3"/>
    <w:rsid w:val="00D27CB6"/>
    <w:rsid w:val="00D3099B"/>
    <w:rsid w:val="00D32F94"/>
    <w:rsid w:val="00D3566F"/>
    <w:rsid w:val="00D46F05"/>
    <w:rsid w:val="00D63C8C"/>
    <w:rsid w:val="00D75201"/>
    <w:rsid w:val="00D76C6A"/>
    <w:rsid w:val="00D93BA0"/>
    <w:rsid w:val="00D96F71"/>
    <w:rsid w:val="00DC0CDF"/>
    <w:rsid w:val="00DC1021"/>
    <w:rsid w:val="00DC1803"/>
    <w:rsid w:val="00DE400E"/>
    <w:rsid w:val="00DF3E43"/>
    <w:rsid w:val="00DF63FD"/>
    <w:rsid w:val="00E0095E"/>
    <w:rsid w:val="00E01D10"/>
    <w:rsid w:val="00E06802"/>
    <w:rsid w:val="00E13A52"/>
    <w:rsid w:val="00E211E8"/>
    <w:rsid w:val="00E24BDC"/>
    <w:rsid w:val="00E3016F"/>
    <w:rsid w:val="00E340DE"/>
    <w:rsid w:val="00E37829"/>
    <w:rsid w:val="00E6063C"/>
    <w:rsid w:val="00E6093B"/>
    <w:rsid w:val="00E672D2"/>
    <w:rsid w:val="00E702C0"/>
    <w:rsid w:val="00E739D8"/>
    <w:rsid w:val="00E973FF"/>
    <w:rsid w:val="00EA4AF9"/>
    <w:rsid w:val="00EA675E"/>
    <w:rsid w:val="00EA7C65"/>
    <w:rsid w:val="00EB24D1"/>
    <w:rsid w:val="00EB3AFA"/>
    <w:rsid w:val="00EB709D"/>
    <w:rsid w:val="00EC0949"/>
    <w:rsid w:val="00EC161E"/>
    <w:rsid w:val="00EC508A"/>
    <w:rsid w:val="00ED1F10"/>
    <w:rsid w:val="00EE787E"/>
    <w:rsid w:val="00EF443B"/>
    <w:rsid w:val="00F0472F"/>
    <w:rsid w:val="00F047EF"/>
    <w:rsid w:val="00F11103"/>
    <w:rsid w:val="00F14605"/>
    <w:rsid w:val="00F14CA7"/>
    <w:rsid w:val="00F157F1"/>
    <w:rsid w:val="00F173CB"/>
    <w:rsid w:val="00F275B5"/>
    <w:rsid w:val="00F30823"/>
    <w:rsid w:val="00F46A9F"/>
    <w:rsid w:val="00F53E63"/>
    <w:rsid w:val="00F606E3"/>
    <w:rsid w:val="00F61E20"/>
    <w:rsid w:val="00F65F34"/>
    <w:rsid w:val="00F72CD3"/>
    <w:rsid w:val="00F804D7"/>
    <w:rsid w:val="00F912F4"/>
    <w:rsid w:val="00F92C71"/>
    <w:rsid w:val="00FC78D4"/>
    <w:rsid w:val="00FD6DDE"/>
    <w:rsid w:val="00FE0ADC"/>
    <w:rsid w:val="00FE0EF7"/>
    <w:rsid w:val="00FE2969"/>
    <w:rsid w:val="00FF3256"/>
    <w:rsid w:val="00FF44B7"/>
    <w:rsid w:val="0333C753"/>
    <w:rsid w:val="14161C32"/>
    <w:rsid w:val="16B97ECF"/>
    <w:rsid w:val="17B3829A"/>
    <w:rsid w:val="17FF96F4"/>
    <w:rsid w:val="1E5D473E"/>
    <w:rsid w:val="1E8F325E"/>
    <w:rsid w:val="1FAEDE3C"/>
    <w:rsid w:val="1FEE31A8"/>
    <w:rsid w:val="21B71FEC"/>
    <w:rsid w:val="26FE2EA2"/>
    <w:rsid w:val="2DA79E58"/>
    <w:rsid w:val="35DF523D"/>
    <w:rsid w:val="36CF69D6"/>
    <w:rsid w:val="377B04D7"/>
    <w:rsid w:val="37B753DC"/>
    <w:rsid w:val="37EF826C"/>
    <w:rsid w:val="3DDE8729"/>
    <w:rsid w:val="3E793B5B"/>
    <w:rsid w:val="3EABA22B"/>
    <w:rsid w:val="3EF6176C"/>
    <w:rsid w:val="3EFB7A5A"/>
    <w:rsid w:val="3F7BD502"/>
    <w:rsid w:val="3FB3CE15"/>
    <w:rsid w:val="3FCA4765"/>
    <w:rsid w:val="3FF8EB38"/>
    <w:rsid w:val="42764AD5"/>
    <w:rsid w:val="47EE2A88"/>
    <w:rsid w:val="4D7EC522"/>
    <w:rsid w:val="4DCF05C5"/>
    <w:rsid w:val="51F73808"/>
    <w:rsid w:val="58BBC3E2"/>
    <w:rsid w:val="5ADF3A1D"/>
    <w:rsid w:val="5BFE7E30"/>
    <w:rsid w:val="5FDD41DD"/>
    <w:rsid w:val="5FDFD29C"/>
    <w:rsid w:val="5FF30D42"/>
    <w:rsid w:val="5FF749F1"/>
    <w:rsid w:val="5FFF323E"/>
    <w:rsid w:val="5FFFCBB7"/>
    <w:rsid w:val="61D71E4B"/>
    <w:rsid w:val="65F78B17"/>
    <w:rsid w:val="667F603B"/>
    <w:rsid w:val="6B3F1EB1"/>
    <w:rsid w:val="6BEF7731"/>
    <w:rsid w:val="6C3ACD3D"/>
    <w:rsid w:val="6C7E5A83"/>
    <w:rsid w:val="6D9FEFFD"/>
    <w:rsid w:val="6DBE321E"/>
    <w:rsid w:val="6DFCBA0F"/>
    <w:rsid w:val="6E9D0712"/>
    <w:rsid w:val="6F3BEE38"/>
    <w:rsid w:val="6F7F17D1"/>
    <w:rsid w:val="6FBF4298"/>
    <w:rsid w:val="753F5165"/>
    <w:rsid w:val="754E6F19"/>
    <w:rsid w:val="76548E27"/>
    <w:rsid w:val="76FF308E"/>
    <w:rsid w:val="777EB6B4"/>
    <w:rsid w:val="77DF2955"/>
    <w:rsid w:val="77EDFE67"/>
    <w:rsid w:val="77EF6579"/>
    <w:rsid w:val="78B6716F"/>
    <w:rsid w:val="79FE9320"/>
    <w:rsid w:val="7A7E357A"/>
    <w:rsid w:val="7BD7D826"/>
    <w:rsid w:val="7BED21AD"/>
    <w:rsid w:val="7BF7FBDF"/>
    <w:rsid w:val="7C6EC0B7"/>
    <w:rsid w:val="7CEE8E6D"/>
    <w:rsid w:val="7CFB6695"/>
    <w:rsid w:val="7DF70A2F"/>
    <w:rsid w:val="7DFF3C4E"/>
    <w:rsid w:val="7E5B47AE"/>
    <w:rsid w:val="7E89E676"/>
    <w:rsid w:val="7EDF7D36"/>
    <w:rsid w:val="7EEF3F11"/>
    <w:rsid w:val="7F1B31CC"/>
    <w:rsid w:val="7F2E3228"/>
    <w:rsid w:val="7F692871"/>
    <w:rsid w:val="7FBB41B0"/>
    <w:rsid w:val="7FD1516D"/>
    <w:rsid w:val="7FDC2063"/>
    <w:rsid w:val="89BB9625"/>
    <w:rsid w:val="91FFFD85"/>
    <w:rsid w:val="99BE7BCC"/>
    <w:rsid w:val="9BC380D4"/>
    <w:rsid w:val="9BFB27DA"/>
    <w:rsid w:val="A95D4617"/>
    <w:rsid w:val="A9A6582D"/>
    <w:rsid w:val="AF977D6C"/>
    <w:rsid w:val="B39F4B96"/>
    <w:rsid w:val="B3FDD470"/>
    <w:rsid w:val="B5DC7324"/>
    <w:rsid w:val="BA2FF315"/>
    <w:rsid w:val="BBB1730E"/>
    <w:rsid w:val="BBDFE840"/>
    <w:rsid w:val="BDC24D5F"/>
    <w:rsid w:val="BDEF231E"/>
    <w:rsid w:val="BDF7BF9B"/>
    <w:rsid w:val="BF3C647F"/>
    <w:rsid w:val="BF7DCEF9"/>
    <w:rsid w:val="BFE57D2F"/>
    <w:rsid w:val="BFFA9149"/>
    <w:rsid w:val="BFFAB506"/>
    <w:rsid w:val="BFFC6145"/>
    <w:rsid w:val="C37F7E24"/>
    <w:rsid w:val="C4DBA481"/>
    <w:rsid w:val="CE7CF304"/>
    <w:rsid w:val="CFFDC864"/>
    <w:rsid w:val="D3F5D4F1"/>
    <w:rsid w:val="DBFF7A58"/>
    <w:rsid w:val="DE3FF13E"/>
    <w:rsid w:val="DEA922EF"/>
    <w:rsid w:val="DFE32102"/>
    <w:rsid w:val="DFFF8011"/>
    <w:rsid w:val="E3F7663D"/>
    <w:rsid w:val="E67F95E0"/>
    <w:rsid w:val="E7FCF0C7"/>
    <w:rsid w:val="E9EF4907"/>
    <w:rsid w:val="EB7B65EB"/>
    <w:rsid w:val="EDFA78DA"/>
    <w:rsid w:val="EE7731A7"/>
    <w:rsid w:val="F2D784A8"/>
    <w:rsid w:val="F2EFA29C"/>
    <w:rsid w:val="F3C3BB40"/>
    <w:rsid w:val="F7BF1D40"/>
    <w:rsid w:val="F87DF5D9"/>
    <w:rsid w:val="F99F4613"/>
    <w:rsid w:val="F9DF1FFB"/>
    <w:rsid w:val="F9DF8A5B"/>
    <w:rsid w:val="F9F5093D"/>
    <w:rsid w:val="FA7F413E"/>
    <w:rsid w:val="FBE63A89"/>
    <w:rsid w:val="FBF3340C"/>
    <w:rsid w:val="FBF9180A"/>
    <w:rsid w:val="FCF4531A"/>
    <w:rsid w:val="FDDDBEA0"/>
    <w:rsid w:val="FDFF8988"/>
    <w:rsid w:val="FE7E0564"/>
    <w:rsid w:val="FEBE8330"/>
    <w:rsid w:val="FEEF6146"/>
    <w:rsid w:val="FEFF6B77"/>
    <w:rsid w:val="FF7A1638"/>
    <w:rsid w:val="FF9D630D"/>
    <w:rsid w:val="FFE79E24"/>
    <w:rsid w:val="FFFD2281"/>
    <w:rsid w:val="FFFE0A9B"/>
    <w:rsid w:val="FFFF3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11"/>
    <w:qFormat/>
    <w:uiPriority w:val="9"/>
    <w:pPr>
      <w:spacing w:line="590" w:lineRule="exact"/>
      <w:ind w:firstLine="640" w:firstLineChars="200"/>
      <w:outlineLvl w:val="0"/>
    </w:pPr>
    <w:rPr>
      <w:rFonts w:ascii="黑体" w:hAnsi="黑体" w:eastAsia="黑体"/>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Autospacing="1" w:after="0" w:afterAutospacing="1"/>
      <w:jc w:val="left"/>
    </w:pPr>
    <w:rPr>
      <w:kern w:val="0"/>
      <w:sz w:val="24"/>
    </w:rPr>
  </w:style>
  <w:style w:type="character" w:styleId="8">
    <w:name w:val="Strong"/>
    <w:basedOn w:val="7"/>
    <w:qFormat/>
    <w:uiPriority w:val="22"/>
    <w:rPr>
      <w:b/>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1 字符"/>
    <w:basedOn w:val="7"/>
    <w:link w:val="2"/>
    <w:qFormat/>
    <w:uiPriority w:val="9"/>
    <w:rPr>
      <w:rFonts w:ascii="黑体" w:hAnsi="黑体" w:eastAsia="黑体" w:cs="Times New Roman"/>
      <w:sz w:val="32"/>
      <w:szCs w:val="32"/>
    </w:rPr>
  </w:style>
  <w:style w:type="paragraph" w:customStyle="1" w:styleId="12">
    <w:name w:val="修订1"/>
    <w:hidden/>
    <w:unhideWhenUsed/>
    <w:qFormat/>
    <w:uiPriority w:val="99"/>
    <w:pPr>
      <w:spacing w:after="160" w:line="278" w:lineRule="auto"/>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6267</Words>
  <Characters>6320</Characters>
  <Lines>45</Lines>
  <Paragraphs>12</Paragraphs>
  <TotalTime>2</TotalTime>
  <ScaleCrop>false</ScaleCrop>
  <LinksUpToDate>false</LinksUpToDate>
  <CharactersWithSpaces>6320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2026-07-01T22:42:00Z</dcterms:created>
  <dc:creator>Administrator</dc:creator>
  <cp:lastModifiedBy>万小仙儿</cp:lastModifiedBy>
  <cp:lastPrinted>2026-07-04T17:25:00Z</cp:lastPrinted>
  <dcterms:modified xsi:type="dcterms:W3CDTF">2026-09-03T08:53:10Z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eyJoZGlkIjoiZDRlZGNjNzIwOGZmZjI0ZmFhY2Y5Mzc1ODllZDFkYTYiLCJ1c2VySWQiOiI0NTY0MDgzNzYifQ==</vt:lpwstr>
  </property>
  <property fmtid="{D5CDD505-2E9C-101B-9397-08002B2CF9AE}" pid="4" name="ICV">
    <vt:lpwstr>CAB83667F398452A92343C985193A2C7_13</vt:lpwstr>
  </property>
</Properties>
</file>