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宋体" w:hAnsi="宋体" w:eastAsia="宋体" w:cs="宋体"/>
          <w:sz w:val="24"/>
        </w:rPr>
      </w:pPr>
    </w:p>
    <w:p>
      <w:pPr>
        <w:jc w:val="center"/>
        <w:rPr>
          <w:rFonts w:ascii="宋体" w:hAnsi="宋体" w:eastAsia="宋体" w:cs="宋体"/>
          <w:sz w:val="24"/>
        </w:rPr>
      </w:pPr>
    </w:p>
    <w:p>
      <w:pPr>
        <w:jc w:val="center"/>
        <w:rPr>
          <w:rFonts w:ascii="宋体" w:hAnsi="宋体" w:eastAsia="宋体" w:cs="宋体"/>
          <w:sz w:val="24"/>
        </w:rPr>
      </w:pPr>
    </w:p>
    <w:p>
      <w:pPr>
        <w:jc w:val="center"/>
        <w:rPr>
          <w:rFonts w:ascii="宋体" w:hAnsi="宋体" w:eastAsia="宋体" w:cs="宋体"/>
          <w:sz w:val="24"/>
        </w:rPr>
      </w:pPr>
    </w:p>
    <w:p>
      <w:pPr>
        <w:bidi w:val="0"/>
        <w:jc w:val="center"/>
        <w:rPr>
          <w:rFonts w:hint="eastAsia" w:ascii="微软雅黑" w:hAnsi="微软雅黑" w:eastAsia="微软雅黑" w:cs="微软雅黑"/>
          <w:b/>
          <w:bCs/>
          <w:sz w:val="44"/>
          <w:szCs w:val="52"/>
          <w:lang w:val="en-US" w:eastAsia="zh-CN"/>
        </w:rPr>
      </w:pPr>
      <w:r>
        <w:rPr>
          <w:rFonts w:hint="eastAsia" w:ascii="微软雅黑" w:hAnsi="微软雅黑" w:eastAsia="微软雅黑" w:cs="微软雅黑"/>
          <w:b/>
          <w:bCs/>
          <w:sz w:val="44"/>
          <w:szCs w:val="52"/>
          <w:lang w:val="en-US" w:eastAsia="zh-CN"/>
        </w:rPr>
        <w:t>江苏交通运输电子证照政务服务窗口应用</w:t>
      </w:r>
    </w:p>
    <w:p>
      <w:pPr>
        <w:bidi w:val="0"/>
        <w:jc w:val="both"/>
        <w:rPr>
          <w:rFonts w:hint="eastAsia" w:ascii="微软雅黑" w:hAnsi="微软雅黑" w:eastAsia="微软雅黑" w:cs="微软雅黑"/>
          <w:b/>
          <w:bCs/>
          <w:sz w:val="48"/>
          <w:szCs w:val="56"/>
          <w:lang w:val="en-US" w:eastAsia="zh-CN"/>
        </w:rPr>
      </w:pPr>
    </w:p>
    <w:p>
      <w:pPr>
        <w:bidi w:val="0"/>
        <w:jc w:val="center"/>
        <w:rPr>
          <w:rFonts w:hint="eastAsia" w:ascii="微软雅黑" w:hAnsi="微软雅黑" w:eastAsia="微软雅黑" w:cs="微软雅黑"/>
          <w:b/>
          <w:bCs/>
          <w:sz w:val="44"/>
          <w:szCs w:val="52"/>
          <w:lang w:val="en-US" w:eastAsia="zh-CN"/>
        </w:rPr>
      </w:pPr>
      <w:r>
        <w:rPr>
          <w:rFonts w:hint="eastAsia" w:ascii="微软雅黑" w:hAnsi="微软雅黑" w:eastAsia="微软雅黑" w:cs="微软雅黑"/>
          <w:b/>
          <w:bCs/>
          <w:sz w:val="44"/>
          <w:szCs w:val="52"/>
          <w:lang w:val="en-US" w:eastAsia="zh-CN"/>
        </w:rPr>
        <w:t>操</w:t>
      </w:r>
    </w:p>
    <w:p>
      <w:pPr>
        <w:bidi w:val="0"/>
        <w:jc w:val="center"/>
        <w:rPr>
          <w:rFonts w:hint="eastAsia" w:ascii="微软雅黑" w:hAnsi="微软雅黑" w:eastAsia="微软雅黑" w:cs="微软雅黑"/>
          <w:b/>
          <w:bCs/>
          <w:sz w:val="44"/>
          <w:szCs w:val="52"/>
          <w:lang w:val="en-US" w:eastAsia="zh-CN"/>
        </w:rPr>
      </w:pPr>
      <w:r>
        <w:rPr>
          <w:rFonts w:hint="eastAsia" w:ascii="微软雅黑" w:hAnsi="微软雅黑" w:eastAsia="微软雅黑" w:cs="微软雅黑"/>
          <w:b/>
          <w:bCs/>
          <w:sz w:val="44"/>
          <w:szCs w:val="52"/>
          <w:lang w:val="en-US" w:eastAsia="zh-CN"/>
        </w:rPr>
        <w:t>作</w:t>
      </w:r>
    </w:p>
    <w:p>
      <w:pPr>
        <w:bidi w:val="0"/>
        <w:jc w:val="center"/>
        <w:rPr>
          <w:rFonts w:hint="eastAsia" w:ascii="微软雅黑" w:hAnsi="微软雅黑" w:eastAsia="微软雅黑" w:cs="微软雅黑"/>
          <w:b/>
          <w:bCs/>
          <w:sz w:val="44"/>
          <w:szCs w:val="52"/>
          <w:lang w:val="en-US" w:eastAsia="zh-CN"/>
        </w:rPr>
      </w:pPr>
      <w:r>
        <w:rPr>
          <w:rFonts w:hint="eastAsia" w:ascii="微软雅黑" w:hAnsi="微软雅黑" w:eastAsia="微软雅黑" w:cs="微软雅黑"/>
          <w:b/>
          <w:bCs/>
          <w:sz w:val="44"/>
          <w:szCs w:val="52"/>
          <w:lang w:val="en-US" w:eastAsia="zh-CN"/>
        </w:rPr>
        <w:t>手</w:t>
      </w:r>
      <w:bookmarkStart w:id="8" w:name="_GoBack"/>
      <w:bookmarkEnd w:id="8"/>
    </w:p>
    <w:p>
      <w:pPr>
        <w:bidi w:val="0"/>
        <w:jc w:val="center"/>
        <w:rPr>
          <w:rFonts w:hint="eastAsia" w:ascii="微软雅黑" w:hAnsi="微软雅黑" w:eastAsia="微软雅黑" w:cs="微软雅黑"/>
          <w:b/>
          <w:bCs/>
          <w:sz w:val="44"/>
          <w:szCs w:val="52"/>
          <w:lang w:val="en-US" w:eastAsia="zh-CN"/>
        </w:rPr>
      </w:pPr>
      <w:r>
        <w:rPr>
          <w:rFonts w:hint="eastAsia" w:ascii="微软雅黑" w:hAnsi="微软雅黑" w:eastAsia="微软雅黑" w:cs="微软雅黑"/>
          <w:b/>
          <w:bCs/>
          <w:sz w:val="44"/>
          <w:szCs w:val="52"/>
          <w:lang w:val="en-US" w:eastAsia="zh-CN"/>
        </w:rPr>
        <w:t>册</w:t>
      </w:r>
    </w:p>
    <w:p>
      <w:pPr>
        <w:bidi w:val="0"/>
        <w:ind w:firstLine="3522" w:firstLineChars="800"/>
        <w:rPr>
          <w:rFonts w:hint="eastAsia" w:ascii="微软雅黑" w:hAnsi="微软雅黑" w:eastAsia="微软雅黑" w:cs="微软雅黑"/>
          <w:b/>
          <w:bCs/>
          <w:sz w:val="44"/>
          <w:szCs w:val="52"/>
          <w:lang w:val="en-US" w:eastAsia="zh-CN"/>
        </w:rPr>
      </w:pPr>
    </w:p>
    <w:p>
      <w:pPr>
        <w:bidi w:val="0"/>
        <w:ind w:firstLine="3522" w:firstLineChars="800"/>
        <w:rPr>
          <w:rFonts w:hint="eastAsia" w:ascii="微软雅黑" w:hAnsi="微软雅黑" w:eastAsia="微软雅黑" w:cs="微软雅黑"/>
          <w:b/>
          <w:bCs/>
          <w:sz w:val="44"/>
          <w:szCs w:val="52"/>
          <w:lang w:val="en-US" w:eastAsia="zh-CN"/>
        </w:rPr>
      </w:pPr>
    </w:p>
    <w:p>
      <w:pPr>
        <w:bidi w:val="0"/>
        <w:rPr>
          <w:rFonts w:hint="eastAsia" w:ascii="微软雅黑" w:hAnsi="微软雅黑" w:eastAsia="微软雅黑" w:cs="微软雅黑"/>
          <w:b/>
          <w:bCs/>
          <w:sz w:val="44"/>
          <w:szCs w:val="52"/>
          <w:lang w:val="en-US" w:eastAsia="zh-CN"/>
        </w:rPr>
      </w:pPr>
    </w:p>
    <w:p>
      <w:pPr>
        <w:bidi w:val="0"/>
        <w:rPr>
          <w:rFonts w:hint="eastAsia" w:ascii="微软雅黑" w:hAnsi="微软雅黑" w:eastAsia="微软雅黑" w:cs="微软雅黑"/>
          <w:b/>
          <w:bCs/>
          <w:sz w:val="44"/>
          <w:szCs w:val="52"/>
          <w:lang w:val="en-US" w:eastAsia="zh-CN"/>
        </w:rPr>
      </w:pPr>
    </w:p>
    <w:p>
      <w:pPr>
        <w:bidi w:val="0"/>
        <w:rPr>
          <w:rFonts w:hint="eastAsia" w:ascii="微软雅黑" w:hAnsi="微软雅黑" w:eastAsia="微软雅黑" w:cs="微软雅黑"/>
          <w:b/>
          <w:bCs/>
          <w:sz w:val="44"/>
          <w:szCs w:val="52"/>
          <w:lang w:val="en-US" w:eastAsia="zh-CN"/>
        </w:rPr>
      </w:pPr>
    </w:p>
    <w:p>
      <w:pPr>
        <w:jc w:val="center"/>
        <w:rPr>
          <w:rFonts w:hint="eastAsia" w:ascii="微软雅黑" w:hAnsi="微软雅黑" w:eastAsia="微软雅黑" w:cs="微软雅黑"/>
          <w:b/>
          <w:bCs/>
          <w:sz w:val="32"/>
          <w:szCs w:val="32"/>
        </w:rPr>
      </w:pPr>
      <w:r>
        <w:rPr>
          <w:rFonts w:hint="eastAsia" w:ascii="微软雅黑" w:hAnsi="微软雅黑" w:eastAsia="微软雅黑" w:cs="微软雅黑"/>
          <w:b/>
          <w:bCs/>
          <w:sz w:val="32"/>
          <w:szCs w:val="32"/>
        </w:rPr>
        <w:t>江苏省交通运输厅</w:t>
      </w:r>
    </w:p>
    <w:p>
      <w:pPr>
        <w:jc w:val="center"/>
        <w:rPr>
          <w:rFonts w:hint="default" w:ascii="微软雅黑" w:hAnsi="微软雅黑" w:eastAsia="微软雅黑" w:cs="微软雅黑"/>
          <w:b/>
          <w:bCs/>
          <w:sz w:val="32"/>
          <w:szCs w:val="32"/>
          <w:lang w:val="en-US" w:eastAsia="zh-CN"/>
        </w:rPr>
      </w:pPr>
      <w:r>
        <w:rPr>
          <w:rFonts w:hint="eastAsia" w:ascii="微软雅黑" w:hAnsi="微软雅黑" w:eastAsia="微软雅黑" w:cs="微软雅黑"/>
          <w:b/>
          <w:bCs/>
          <w:sz w:val="32"/>
          <w:szCs w:val="32"/>
        </w:rPr>
        <w:t>江苏省</w:t>
      </w:r>
      <w:r>
        <w:rPr>
          <w:rFonts w:hint="eastAsia" w:ascii="微软雅黑" w:hAnsi="微软雅黑" w:eastAsia="微软雅黑" w:cs="微软雅黑"/>
          <w:b/>
          <w:bCs/>
          <w:sz w:val="32"/>
          <w:szCs w:val="32"/>
          <w:lang w:val="en-US" w:eastAsia="zh-CN"/>
        </w:rPr>
        <w:t>政务服务管理办公室</w:t>
      </w:r>
    </w:p>
    <w:p>
      <w:pPr>
        <w:jc w:val="center"/>
        <w:rPr>
          <w:rFonts w:hint="eastAsia" w:ascii="微软雅黑" w:hAnsi="微软雅黑" w:eastAsia="微软雅黑" w:cs="微软雅黑"/>
          <w:color w:val="0000FF"/>
          <w:sz w:val="28"/>
          <w:szCs w:val="28"/>
          <w:lang w:val="en-US" w:eastAsia="zh-CN"/>
        </w:rPr>
        <w:sectPr>
          <w:headerReference r:id="rId3" w:type="default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  <w:r>
        <w:rPr>
          <w:rFonts w:hint="eastAsia" w:ascii="微软雅黑" w:hAnsi="微软雅黑" w:eastAsia="微软雅黑" w:cs="微软雅黑"/>
          <w:b/>
          <w:bCs/>
          <w:sz w:val="32"/>
          <w:szCs w:val="32"/>
        </w:rPr>
        <w:t>2020-1</w:t>
      </w:r>
      <w:r>
        <w:rPr>
          <w:rFonts w:hint="eastAsia" w:ascii="微软雅黑" w:hAnsi="微软雅黑" w:eastAsia="微软雅黑" w:cs="微软雅黑"/>
          <w:b/>
          <w:bCs/>
          <w:sz w:val="32"/>
          <w:szCs w:val="32"/>
          <w:lang w:val="en-US" w:eastAsia="zh-CN"/>
        </w:rPr>
        <w:t>2</w:t>
      </w:r>
    </w:p>
    <w:p>
      <w:pPr>
        <w:rPr>
          <w:rFonts w:ascii="宋体" w:hAnsi="宋体" w:eastAsia="宋体" w:cs="宋体"/>
          <w:sz w:val="44"/>
          <w:szCs w:val="44"/>
        </w:rPr>
      </w:pPr>
    </w:p>
    <w:p>
      <w:pPr>
        <w:rPr>
          <w:rFonts w:ascii="宋体" w:hAnsi="宋体" w:eastAsia="宋体" w:cs="宋体"/>
          <w:color w:val="0000FF"/>
          <w:sz w:val="24"/>
        </w:rPr>
        <w:sectPr>
          <w:headerReference r:id="rId4" w:type="default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>
      <w:pPr>
        <w:rPr>
          <w:rFonts w:ascii="宋体" w:hAnsi="宋体" w:eastAsia="宋体" w:cs="宋体"/>
          <w:color w:val="0000FF"/>
          <w:sz w:val="24"/>
        </w:rPr>
      </w:pPr>
    </w:p>
    <w:p>
      <w:pPr>
        <w:pStyle w:val="7"/>
        <w:tabs>
          <w:tab w:val="right" w:leader="dot" w:pos="8306"/>
        </w:tabs>
        <w:jc w:val="center"/>
        <w:rPr>
          <w:b/>
          <w:bCs/>
          <w:color w:val="0000FF"/>
          <w:sz w:val="24"/>
        </w:rPr>
      </w:pPr>
      <w:r>
        <w:rPr>
          <w:rFonts w:hint="eastAsia"/>
          <w:b/>
          <w:bCs/>
          <w:color w:val="0000FF"/>
          <w:sz w:val="24"/>
        </w:rPr>
        <w:t>目录</w:t>
      </w:r>
    </w:p>
    <w:p>
      <w:pPr>
        <w:pStyle w:val="6"/>
        <w:tabs>
          <w:tab w:val="right" w:leader="dot" w:pos="8306"/>
        </w:tabs>
      </w:pPr>
      <w:bookmarkStart w:id="0" w:name="_Toc32311"/>
      <w:r>
        <w:rPr>
          <w:sz w:val="24"/>
        </w:rPr>
        <w:fldChar w:fldCharType="begin"/>
      </w:r>
      <w:r>
        <w:rPr>
          <w:sz w:val="24"/>
        </w:rPr>
        <w:instrText xml:space="preserve">TOC \o "1-3" \u </w:instrText>
      </w:r>
      <w:r>
        <w:rPr>
          <w:sz w:val="24"/>
        </w:rPr>
        <w:fldChar w:fldCharType="separate"/>
      </w:r>
      <w:r>
        <w:t xml:space="preserve">1. </w:t>
      </w:r>
      <w:r>
        <w:rPr>
          <w:rFonts w:hint="eastAsia"/>
        </w:rPr>
        <w:t>江苏运政公众号与运政人员绑定</w:t>
      </w:r>
      <w:r>
        <w:tab/>
      </w:r>
      <w:r>
        <w:fldChar w:fldCharType="begin"/>
      </w:r>
      <w:r>
        <w:instrText xml:space="preserve"> PAGEREF _Toc18120 </w:instrText>
      </w:r>
      <w:r>
        <w:fldChar w:fldCharType="separate"/>
      </w:r>
      <w:r>
        <w:t>2</w:t>
      </w:r>
      <w:r>
        <w:fldChar w:fldCharType="end"/>
      </w:r>
    </w:p>
    <w:p>
      <w:pPr>
        <w:pStyle w:val="6"/>
        <w:tabs>
          <w:tab w:val="right" w:leader="dot" w:pos="8306"/>
        </w:tabs>
      </w:pPr>
      <w:r>
        <w:t xml:space="preserve">2. </w:t>
      </w:r>
      <w:r>
        <w:rPr>
          <w:rFonts w:hint="eastAsia"/>
        </w:rPr>
        <w:t>微信扫描电子二维码（长三角电子证照二维码）</w:t>
      </w:r>
      <w:r>
        <w:tab/>
      </w:r>
      <w:r>
        <w:fldChar w:fldCharType="begin"/>
      </w:r>
      <w:r>
        <w:instrText xml:space="preserve"> PAGEREF _Toc8384 </w:instrText>
      </w:r>
      <w:r>
        <w:fldChar w:fldCharType="separate"/>
      </w:r>
      <w:r>
        <w:t>3</w:t>
      </w:r>
      <w:r>
        <w:fldChar w:fldCharType="end"/>
      </w:r>
    </w:p>
    <w:p>
      <w:pPr>
        <w:pStyle w:val="7"/>
        <w:tabs>
          <w:tab w:val="right" w:leader="dot" w:pos="8306"/>
        </w:tabs>
      </w:pPr>
      <w:r>
        <w:t xml:space="preserve">2.1. </w:t>
      </w:r>
      <w:r>
        <w:rPr>
          <w:rFonts w:hint="eastAsia"/>
        </w:rPr>
        <w:t>运政端查看电子证件信息</w:t>
      </w:r>
      <w:r>
        <w:tab/>
      </w:r>
      <w:r>
        <w:fldChar w:fldCharType="begin"/>
      </w:r>
      <w:r>
        <w:instrText xml:space="preserve"> PAGEREF _Toc4970 </w:instrText>
      </w:r>
      <w:r>
        <w:fldChar w:fldCharType="separate"/>
      </w:r>
      <w:r>
        <w:t>4</w:t>
      </w:r>
      <w:r>
        <w:fldChar w:fldCharType="end"/>
      </w:r>
    </w:p>
    <w:p>
      <w:pPr>
        <w:pStyle w:val="6"/>
        <w:tabs>
          <w:tab w:val="right" w:leader="dot" w:pos="8306"/>
        </w:tabs>
      </w:pPr>
      <w:r>
        <w:t xml:space="preserve">3. </w:t>
      </w:r>
      <w:r>
        <w:rPr>
          <w:rFonts w:hint="eastAsia"/>
        </w:rPr>
        <w:t>微信扫描电子二维码（苏服码）</w:t>
      </w:r>
      <w:r>
        <w:tab/>
      </w:r>
      <w:r>
        <w:fldChar w:fldCharType="begin"/>
      </w:r>
      <w:r>
        <w:instrText xml:space="preserve"> PAGEREF _Toc3110 </w:instrText>
      </w:r>
      <w:r>
        <w:fldChar w:fldCharType="separate"/>
      </w:r>
      <w:r>
        <w:t>5</w:t>
      </w:r>
      <w:r>
        <w:fldChar w:fldCharType="end"/>
      </w:r>
    </w:p>
    <w:p>
      <w:pPr>
        <w:pStyle w:val="7"/>
        <w:tabs>
          <w:tab w:val="right" w:leader="dot" w:pos="8306"/>
        </w:tabs>
      </w:pPr>
      <w:r>
        <w:t xml:space="preserve">3.1. </w:t>
      </w:r>
      <w:r>
        <w:rPr>
          <w:rFonts w:hint="eastAsia"/>
        </w:rPr>
        <w:t>运政端查看电子证件信息</w:t>
      </w:r>
      <w:r>
        <w:tab/>
      </w:r>
      <w:r>
        <w:fldChar w:fldCharType="begin"/>
      </w:r>
      <w:r>
        <w:instrText xml:space="preserve"> PAGEREF _Toc30836 </w:instrText>
      </w:r>
      <w:r>
        <w:fldChar w:fldCharType="separate"/>
      </w:r>
      <w:r>
        <w:t>7</w:t>
      </w:r>
      <w:r>
        <w:fldChar w:fldCharType="end"/>
      </w:r>
    </w:p>
    <w:p>
      <w:pPr>
        <w:pStyle w:val="6"/>
        <w:tabs>
          <w:tab w:val="right" w:leader="dot" w:pos="8306"/>
        </w:tabs>
      </w:pPr>
      <w:r>
        <w:t xml:space="preserve">4. </w:t>
      </w:r>
      <w:r>
        <w:rPr>
          <w:rFonts w:hint="eastAsia"/>
        </w:rPr>
        <w:t>苏服码获取指南（江苏政务服务APP）：</w:t>
      </w:r>
      <w:r>
        <w:tab/>
      </w:r>
      <w:r>
        <w:fldChar w:fldCharType="begin"/>
      </w:r>
      <w:r>
        <w:instrText xml:space="preserve"> PAGEREF _Toc5625 </w:instrText>
      </w:r>
      <w:r>
        <w:fldChar w:fldCharType="separate"/>
      </w:r>
      <w:r>
        <w:t>9</w:t>
      </w:r>
      <w:r>
        <w:fldChar w:fldCharType="end"/>
      </w:r>
    </w:p>
    <w:p>
      <w:pPr>
        <w:rPr>
          <w:sz w:val="24"/>
        </w:rPr>
      </w:pPr>
      <w:r>
        <w:fldChar w:fldCharType="end"/>
      </w:r>
    </w:p>
    <w:p>
      <w:r>
        <w:br w:type="page"/>
      </w:r>
    </w:p>
    <w:p>
      <w:pPr>
        <w:spacing w:line="360" w:lineRule="auto"/>
        <w:ind w:firstLine="480" w:firstLineChars="200"/>
        <w:rPr>
          <w:rFonts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sz w:val="24"/>
        </w:rPr>
        <w:t>长三角电子证照/苏服码应用场景主要分为：客运车辆年审，货运车辆年审，客运业户年审，货运业户年审、从业人员换证。</w:t>
      </w:r>
    </w:p>
    <w:p>
      <w:pPr>
        <w:spacing w:line="360" w:lineRule="auto"/>
        <w:ind w:left="479" w:leftChars="228"/>
        <w:rPr>
          <w:rFonts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sz w:val="24"/>
        </w:rPr>
        <w:t>三大功能模块主要是：从业人员电子证件，车辆电子证件，业户电子证件。</w:t>
      </w:r>
    </w:p>
    <w:p>
      <w:pPr>
        <w:pStyle w:val="2"/>
        <w:numPr>
          <w:ilvl w:val="0"/>
          <w:numId w:val="1"/>
        </w:numPr>
      </w:pPr>
      <w:bookmarkStart w:id="1" w:name="_Toc18120"/>
      <w:r>
        <w:rPr>
          <w:rFonts w:hint="eastAsia"/>
        </w:rPr>
        <w:t>江苏运政公众号与运政人员绑定</w:t>
      </w:r>
      <w:bookmarkEnd w:id="0"/>
      <w:bookmarkEnd w:id="1"/>
    </w:p>
    <w:p>
      <w:pPr>
        <w:spacing w:line="360" w:lineRule="auto"/>
        <w:ind w:firstLine="480" w:firstLineChars="200"/>
        <w:rPr>
          <w:rFonts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sz w:val="24"/>
        </w:rPr>
        <w:t>窗口业务人员登录运政在线后，需在相应的业务办理模块绑定微信号。如车辆年审业务，点击“道路货运--车辆年审”，点击上方“</w:t>
      </w:r>
      <w:r>
        <w:rPr>
          <w:sz w:val="24"/>
        </w:rPr>
        <w:drawing>
          <wp:inline distT="0" distB="0" distL="114300" distR="114300">
            <wp:extent cx="1590675" cy="285750"/>
            <wp:effectExtent l="0" t="0" r="9525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590675" cy="285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ascii="宋体" w:hAnsi="宋体" w:eastAsia="宋体" w:cs="宋体"/>
          <w:sz w:val="24"/>
        </w:rPr>
        <w:t>”获取绑定二维码。</w:t>
      </w:r>
    </w:p>
    <w:p>
      <w:pPr>
        <w:spacing w:line="360" w:lineRule="auto"/>
        <w:rPr>
          <w:rFonts w:ascii="宋体" w:hAnsi="宋体" w:eastAsia="宋体" w:cs="宋体"/>
          <w:sz w:val="24"/>
        </w:rPr>
      </w:pPr>
      <w:r>
        <w:drawing>
          <wp:inline distT="0" distB="0" distL="114300" distR="114300">
            <wp:extent cx="5269230" cy="2449830"/>
            <wp:effectExtent l="0" t="0" r="7620" b="762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24498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line="360" w:lineRule="auto"/>
      </w:pPr>
      <w:r>
        <w:drawing>
          <wp:inline distT="0" distB="0" distL="114300" distR="114300">
            <wp:extent cx="5262880" cy="2451735"/>
            <wp:effectExtent l="0" t="0" r="13970" b="5715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24517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2" w:name="_Toc2736"/>
    </w:p>
    <w:p>
      <w:pPr>
        <w:spacing w:line="360" w:lineRule="auto"/>
        <w:ind w:firstLine="480" w:firstLineChars="200"/>
        <w:rPr>
          <w:rFonts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sz w:val="24"/>
        </w:rPr>
        <w:t>获取二维码后，打开微信扫码</w:t>
      </w:r>
      <w:r>
        <w:rPr>
          <w:rFonts w:hint="eastAsia" w:ascii="宋体" w:hAnsi="宋体" w:eastAsia="宋体" w:cs="宋体"/>
          <w:b/>
          <w:bCs/>
          <w:sz w:val="24"/>
        </w:rPr>
        <w:t>关注</w:t>
      </w:r>
      <w:r>
        <w:rPr>
          <w:rFonts w:hint="eastAsia" w:ascii="宋体" w:hAnsi="宋体" w:eastAsia="宋体" w:cs="宋体"/>
          <w:sz w:val="24"/>
        </w:rPr>
        <w:t>即可：</w:t>
      </w:r>
    </w:p>
    <w:p>
      <w:pPr>
        <w:spacing w:line="360" w:lineRule="auto"/>
      </w:pPr>
    </w:p>
    <w:p>
      <w:pPr>
        <w:spacing w:line="360" w:lineRule="auto"/>
        <w:jc w:val="center"/>
      </w:pPr>
      <w:r>
        <w:drawing>
          <wp:inline distT="0" distB="0" distL="114300" distR="114300">
            <wp:extent cx="2556510" cy="4009390"/>
            <wp:effectExtent l="0" t="0" r="15240" b="10160"/>
            <wp:docPr id="16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5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556510" cy="40093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2337435" cy="4019550"/>
            <wp:effectExtent l="0" t="0" r="5715" b="0"/>
            <wp:docPr id="15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14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2337435" cy="4019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2"/>
        <w:numPr>
          <w:ilvl w:val="0"/>
          <w:numId w:val="1"/>
        </w:numPr>
      </w:pPr>
      <w:bookmarkStart w:id="3" w:name="_Toc8384"/>
      <w:r>
        <w:rPr>
          <w:rFonts w:hint="eastAsia"/>
        </w:rPr>
        <w:t>微信扫描电子二维码</w:t>
      </w:r>
      <w:bookmarkEnd w:id="2"/>
      <w:r>
        <w:rPr>
          <w:rFonts w:hint="eastAsia"/>
        </w:rPr>
        <w:t>（长三角电子证照二维码）</w:t>
      </w:r>
      <w:bookmarkEnd w:id="3"/>
    </w:p>
    <w:p>
      <w:pPr>
        <w:spacing w:line="360" w:lineRule="auto"/>
        <w:ind w:firstLine="480" w:firstLineChars="200"/>
        <w:rPr>
          <w:rFonts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sz w:val="24"/>
        </w:rPr>
        <w:t>扫码关注后点击“</w:t>
      </w:r>
      <w:r>
        <w:rPr>
          <w:rFonts w:hint="eastAsia" w:ascii="宋体" w:hAnsi="宋体" w:eastAsia="宋体" w:cs="宋体"/>
          <w:sz w:val="24"/>
        </w:rPr>
        <w:drawing>
          <wp:inline distT="0" distB="0" distL="114300" distR="114300">
            <wp:extent cx="1200150" cy="314325"/>
            <wp:effectExtent l="0" t="0" r="0" b="9525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1200150" cy="314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ascii="宋体" w:hAnsi="宋体" w:eastAsia="宋体" w:cs="宋体"/>
          <w:sz w:val="24"/>
        </w:rPr>
        <w:t>”进入事项页面，选择事项然后点击“</w:t>
      </w:r>
      <w:r>
        <w:drawing>
          <wp:inline distT="0" distB="0" distL="114300" distR="114300">
            <wp:extent cx="762000" cy="314325"/>
            <wp:effectExtent l="0" t="0" r="0" b="9525"/>
            <wp:docPr id="21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图片 2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762000" cy="314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ascii="宋体" w:hAnsi="宋体" w:eastAsia="宋体" w:cs="宋体"/>
          <w:sz w:val="24"/>
        </w:rPr>
        <w:t>”进入识别页面,识别用户提供的“长三角二维码”,此时系统会自动生成PDF供管理端下载查看。</w:t>
      </w:r>
    </w:p>
    <w:p>
      <w:pPr>
        <w:spacing w:line="360" w:lineRule="auto"/>
        <w:rPr>
          <w:rFonts w:ascii="宋体" w:hAnsi="宋体" w:eastAsia="宋体" w:cs="宋体"/>
          <w:sz w:val="24"/>
        </w:rPr>
      </w:pPr>
    </w:p>
    <w:p>
      <w:pPr>
        <w:spacing w:line="360" w:lineRule="auto"/>
      </w:pPr>
    </w:p>
    <w:p>
      <w:pPr>
        <w:spacing w:line="360" w:lineRule="auto"/>
        <w:jc w:val="left"/>
      </w:pPr>
      <w:r>
        <w:drawing>
          <wp:inline distT="0" distB="0" distL="114300" distR="114300">
            <wp:extent cx="2432050" cy="4319905"/>
            <wp:effectExtent l="0" t="0" r="6350" b="4445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2432050" cy="4319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2816860" cy="4302125"/>
            <wp:effectExtent l="0" t="0" r="2540" b="3175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2816860" cy="4302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line="360" w:lineRule="auto"/>
        <w:jc w:val="left"/>
        <w:rPr>
          <w:b/>
          <w:bCs/>
          <w:sz w:val="18"/>
          <w:szCs w:val="18"/>
        </w:rPr>
      </w:pPr>
      <w:r>
        <w:rPr>
          <w:rFonts w:hint="eastAsia"/>
        </w:rPr>
        <w:t xml:space="preserve">          </w:t>
      </w:r>
      <w:r>
        <w:rPr>
          <w:rFonts w:hint="eastAsia"/>
          <w:sz w:val="18"/>
          <w:szCs w:val="18"/>
        </w:rPr>
        <w:t xml:space="preserve"> </w:t>
      </w:r>
      <w:r>
        <w:rPr>
          <w:rFonts w:hint="eastAsia"/>
          <w:b/>
          <w:bCs/>
          <w:sz w:val="18"/>
          <w:szCs w:val="18"/>
        </w:rPr>
        <w:t>公众号扫描功能                                    扫描示例</w:t>
      </w:r>
    </w:p>
    <w:p>
      <w:pPr>
        <w:pStyle w:val="3"/>
        <w:numPr>
          <w:ilvl w:val="1"/>
          <w:numId w:val="1"/>
        </w:numPr>
      </w:pPr>
      <w:bookmarkStart w:id="4" w:name="_Toc4970"/>
      <w:r>
        <w:rPr>
          <w:rFonts w:hint="eastAsia"/>
        </w:rPr>
        <w:t>运政后台获取证件信息</w:t>
      </w:r>
      <w:bookmarkEnd w:id="4"/>
    </w:p>
    <w:p>
      <w:pPr>
        <w:spacing w:line="360" w:lineRule="auto"/>
        <w:ind w:firstLine="482" w:firstLineChars="200"/>
        <w:rPr>
          <w:rFonts w:ascii="宋体" w:hAnsi="宋体" w:eastAsia="宋体" w:cs="宋体"/>
          <w:b/>
          <w:bCs/>
          <w:color w:val="FF0000"/>
          <w:sz w:val="24"/>
        </w:rPr>
      </w:pPr>
      <w:r>
        <w:rPr>
          <w:rFonts w:hint="eastAsia" w:ascii="宋体" w:hAnsi="宋体" w:eastAsia="宋体" w:cs="宋体"/>
          <w:b/>
          <w:bCs/>
          <w:color w:val="FF0000"/>
          <w:sz w:val="24"/>
        </w:rPr>
        <w:t>应用场景之一：货车年审：</w:t>
      </w:r>
    </w:p>
    <w:p>
      <w:pPr>
        <w:spacing w:line="360" w:lineRule="auto"/>
        <w:ind w:firstLine="480" w:firstLineChars="200"/>
        <w:rPr>
          <w:rFonts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sz w:val="24"/>
        </w:rPr>
        <w:t>扫描获取信息后，再次登录运政在线，以车辆为例（业户跟车辆操作一致）。</w:t>
      </w:r>
    </w:p>
    <w:p>
      <w:pPr>
        <w:spacing w:line="360" w:lineRule="auto"/>
        <w:ind w:firstLine="480" w:firstLineChars="200"/>
        <w:rPr>
          <w:rFonts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sz w:val="24"/>
        </w:rPr>
        <w:t>点击“道路货运--车辆年审”进入年审页面，输入车辆号码选择车牌颜色然后点击“</w:t>
      </w:r>
      <w:r>
        <w:rPr>
          <w:sz w:val="24"/>
        </w:rPr>
        <w:drawing>
          <wp:inline distT="0" distB="0" distL="114300" distR="114300">
            <wp:extent cx="895350" cy="304800"/>
            <wp:effectExtent l="0" t="0" r="0" b="0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895350" cy="30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ascii="宋体" w:hAnsi="宋体" w:eastAsia="宋体" w:cs="宋体"/>
          <w:sz w:val="24"/>
        </w:rPr>
        <w:t>”可查看车辆的年审信息。</w:t>
      </w:r>
    </w:p>
    <w:p>
      <w:pPr>
        <w:spacing w:line="360" w:lineRule="auto"/>
        <w:rPr>
          <w:rFonts w:ascii="宋体" w:hAnsi="宋体" w:eastAsia="宋体" w:cs="宋体"/>
          <w:sz w:val="24"/>
        </w:rPr>
      </w:pPr>
      <w:r>
        <w:drawing>
          <wp:inline distT="0" distB="0" distL="114300" distR="114300">
            <wp:extent cx="5262880" cy="2006600"/>
            <wp:effectExtent l="0" t="0" r="13970" b="12700"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2006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line="360" w:lineRule="auto"/>
        <w:ind w:firstLine="480" w:firstLineChars="200"/>
        <w:rPr>
          <w:rFonts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sz w:val="24"/>
        </w:rPr>
        <w:t>在附件材料一栏，点击“</w:t>
      </w:r>
      <w:r>
        <w:drawing>
          <wp:inline distT="0" distB="0" distL="114300" distR="114300">
            <wp:extent cx="228600" cy="200025"/>
            <wp:effectExtent l="0" t="0" r="0" b="9525"/>
            <wp:docPr id="11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200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ascii="宋体" w:hAnsi="宋体" w:eastAsia="宋体" w:cs="宋体"/>
          <w:sz w:val="24"/>
        </w:rPr>
        <w:t>”然后点击“</w:t>
      </w:r>
      <w:r>
        <w:drawing>
          <wp:inline distT="0" distB="0" distL="114300" distR="114300">
            <wp:extent cx="371475" cy="238125"/>
            <wp:effectExtent l="0" t="0" r="9525" b="9525"/>
            <wp:docPr id="12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371475" cy="238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ascii="宋体" w:hAnsi="宋体" w:eastAsia="宋体" w:cs="宋体"/>
          <w:sz w:val="24"/>
        </w:rPr>
        <w:t>”可查看，之前用微信扫描出的证件信息。</w:t>
      </w:r>
    </w:p>
    <w:p>
      <w:pPr>
        <w:spacing w:line="360" w:lineRule="auto"/>
        <w:rPr>
          <w:rFonts w:ascii="宋体" w:hAnsi="宋体" w:eastAsia="宋体" w:cs="宋体"/>
          <w:sz w:val="24"/>
        </w:rPr>
      </w:pPr>
      <w:r>
        <w:drawing>
          <wp:inline distT="0" distB="0" distL="114300" distR="114300">
            <wp:extent cx="5273675" cy="1954530"/>
            <wp:effectExtent l="0" t="0" r="3175" b="7620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19545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line="360" w:lineRule="auto"/>
        <w:ind w:firstLine="3373" w:firstLineChars="1600"/>
        <w:rPr>
          <w:b/>
          <w:bCs/>
        </w:rPr>
      </w:pPr>
      <w:r>
        <w:rPr>
          <w:rFonts w:hint="eastAsia"/>
          <w:b/>
          <w:bCs/>
        </w:rPr>
        <w:t>电子证件信息查看</w:t>
      </w:r>
    </w:p>
    <w:p>
      <w:pPr>
        <w:pStyle w:val="2"/>
        <w:numPr>
          <w:ilvl w:val="0"/>
          <w:numId w:val="1"/>
        </w:numPr>
      </w:pPr>
      <w:bookmarkStart w:id="5" w:name="_Toc3110"/>
      <w:r>
        <w:rPr>
          <w:rFonts w:hint="eastAsia"/>
        </w:rPr>
        <w:t>微信扫描电子二维码（苏服码）</w:t>
      </w:r>
      <w:bookmarkEnd w:id="5"/>
    </w:p>
    <w:p>
      <w:pPr>
        <w:spacing w:line="360" w:lineRule="auto"/>
        <w:ind w:firstLine="480" w:firstLineChars="200"/>
        <w:rPr>
          <w:rFonts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sz w:val="24"/>
        </w:rPr>
        <w:t>扫码关注后点击“</w:t>
      </w:r>
      <w:r>
        <w:drawing>
          <wp:inline distT="0" distB="0" distL="114300" distR="114300">
            <wp:extent cx="828675" cy="361950"/>
            <wp:effectExtent l="0" t="0" r="9525" b="0"/>
            <wp:docPr id="18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图片 1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828675" cy="361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ascii="宋体" w:hAnsi="宋体" w:eastAsia="宋体" w:cs="宋体"/>
          <w:sz w:val="24"/>
        </w:rPr>
        <w:t>”进入事项页面。</w:t>
      </w:r>
    </w:p>
    <w:p>
      <w:pPr>
        <w:spacing w:line="360" w:lineRule="auto"/>
        <w:jc w:val="center"/>
      </w:pPr>
      <w:r>
        <w:drawing>
          <wp:inline distT="0" distB="0" distL="114300" distR="114300">
            <wp:extent cx="2838450" cy="4981575"/>
            <wp:effectExtent l="0" t="0" r="0" b="9525"/>
            <wp:docPr id="22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图片 3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2838450" cy="4981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line="360" w:lineRule="auto"/>
        <w:ind w:firstLine="480" w:firstLineChars="200"/>
        <w:rPr>
          <w:rFonts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sz w:val="24"/>
        </w:rPr>
        <w:t>选择事项然后点击“</w:t>
      </w:r>
      <w:r>
        <w:drawing>
          <wp:inline distT="0" distB="0" distL="114300" distR="114300">
            <wp:extent cx="762000" cy="314325"/>
            <wp:effectExtent l="0" t="0" r="0" b="9525"/>
            <wp:docPr id="19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图片 2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762000" cy="314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ascii="宋体" w:hAnsi="宋体" w:eastAsia="宋体" w:cs="宋体"/>
          <w:sz w:val="24"/>
        </w:rPr>
        <w:t>”进入识别页面,识别用户提供的“苏服码”,此时系统会自动生成PDF供管理端下载查看。</w:t>
      </w:r>
    </w:p>
    <w:p>
      <w:pPr>
        <w:spacing w:line="360" w:lineRule="auto"/>
      </w:pPr>
    </w:p>
    <w:p>
      <w:pPr>
        <w:spacing w:line="360" w:lineRule="auto"/>
        <w:jc w:val="center"/>
      </w:pPr>
      <w:r>
        <w:drawing>
          <wp:inline distT="0" distB="0" distL="114300" distR="114300">
            <wp:extent cx="2800350" cy="4943475"/>
            <wp:effectExtent l="0" t="0" r="0" b="9525"/>
            <wp:docPr id="23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图片 4"/>
                    <pic:cNvPicPr>
                      <a:picLocks noChangeAspect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2800350" cy="4943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line="360" w:lineRule="auto"/>
      </w:pPr>
    </w:p>
    <w:p>
      <w:pPr>
        <w:spacing w:line="360" w:lineRule="auto"/>
        <w:ind w:firstLine="480" w:firstLineChars="200"/>
        <w:rPr>
          <w:rFonts w:ascii="宋体" w:hAnsi="宋体" w:eastAsia="宋体" w:cs="宋体"/>
          <w:sz w:val="24"/>
        </w:rPr>
      </w:pPr>
    </w:p>
    <w:p>
      <w:pPr>
        <w:pStyle w:val="3"/>
        <w:numPr>
          <w:ilvl w:val="1"/>
          <w:numId w:val="1"/>
        </w:numPr>
      </w:pPr>
      <w:bookmarkStart w:id="6" w:name="_Toc30836"/>
      <w:r>
        <w:rPr>
          <w:rFonts w:hint="eastAsia"/>
        </w:rPr>
        <w:t>运政端查看电子证件信息</w:t>
      </w:r>
      <w:bookmarkEnd w:id="6"/>
    </w:p>
    <w:p>
      <w:pPr>
        <w:spacing w:line="360" w:lineRule="auto"/>
        <w:ind w:firstLine="482" w:firstLineChars="200"/>
        <w:rPr>
          <w:rFonts w:ascii="宋体" w:hAnsi="宋体" w:eastAsia="宋体" w:cs="宋体"/>
          <w:b/>
          <w:bCs/>
          <w:color w:val="FF0000"/>
          <w:sz w:val="24"/>
        </w:rPr>
      </w:pPr>
      <w:r>
        <w:rPr>
          <w:rFonts w:hint="eastAsia" w:ascii="宋体" w:hAnsi="宋体" w:eastAsia="宋体" w:cs="宋体"/>
          <w:b/>
          <w:bCs/>
          <w:color w:val="FF0000"/>
          <w:sz w:val="24"/>
        </w:rPr>
        <w:t>应用场景之一：从业人员换证</w:t>
      </w:r>
    </w:p>
    <w:p>
      <w:pPr>
        <w:spacing w:line="360" w:lineRule="auto"/>
        <w:ind w:firstLine="480" w:firstLineChars="200"/>
        <w:rPr>
          <w:rFonts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sz w:val="24"/>
        </w:rPr>
        <w:t>扫描获取信息后，再次登录运政在线，以从业人员换证为例（业户跟车辆操作一致）。</w:t>
      </w:r>
    </w:p>
    <w:p>
      <w:pPr>
        <w:spacing w:line="360" w:lineRule="auto"/>
        <w:ind w:firstLine="480" w:firstLineChars="200"/>
        <w:rPr>
          <w:rFonts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sz w:val="24"/>
        </w:rPr>
        <w:t>点击“从业人员--从业人员换证”进入换证页面，选择从业人员并查看其信息。</w:t>
      </w:r>
    </w:p>
    <w:p>
      <w:pPr>
        <w:spacing w:line="360" w:lineRule="auto"/>
        <w:rPr>
          <w:rFonts w:ascii="宋体" w:hAnsi="宋体" w:eastAsia="宋体" w:cs="宋体"/>
          <w:sz w:val="24"/>
        </w:rPr>
      </w:pPr>
      <w:r>
        <w:drawing>
          <wp:inline distT="0" distB="0" distL="114300" distR="114300">
            <wp:extent cx="5265420" cy="2468880"/>
            <wp:effectExtent l="0" t="0" r="11430" b="7620"/>
            <wp:docPr id="30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图片 9"/>
                    <pic:cNvPicPr>
                      <a:picLocks noChangeAspect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2468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line="360" w:lineRule="auto"/>
        <w:ind w:firstLine="480" w:firstLineChars="200"/>
        <w:rPr>
          <w:rFonts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sz w:val="24"/>
        </w:rPr>
        <w:t>点击“</w:t>
      </w:r>
      <w:r>
        <w:drawing>
          <wp:inline distT="0" distB="0" distL="114300" distR="114300">
            <wp:extent cx="228600" cy="200025"/>
            <wp:effectExtent l="0" t="0" r="0" b="9525"/>
            <wp:docPr id="25" name="图片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图片 25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200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ascii="宋体" w:hAnsi="宋体" w:eastAsia="宋体" w:cs="宋体"/>
          <w:sz w:val="24"/>
        </w:rPr>
        <w:t>”，此时系统会自动生成PDF（之前在微信端扫描的证件信息）然后点击“</w:t>
      </w:r>
      <w:r>
        <w:drawing>
          <wp:inline distT="0" distB="0" distL="114300" distR="114300">
            <wp:extent cx="371475" cy="238125"/>
            <wp:effectExtent l="0" t="0" r="9525" b="9525"/>
            <wp:docPr id="26" name="图片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图片 26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371475" cy="238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ascii="宋体" w:hAnsi="宋体" w:eastAsia="宋体" w:cs="宋体"/>
          <w:sz w:val="24"/>
        </w:rPr>
        <w:t>”查看即可：</w:t>
      </w:r>
    </w:p>
    <w:p>
      <w:pPr>
        <w:spacing w:line="360" w:lineRule="auto"/>
      </w:pPr>
      <w:r>
        <w:drawing>
          <wp:inline distT="0" distB="0" distL="114300" distR="114300">
            <wp:extent cx="5272405" cy="1991995"/>
            <wp:effectExtent l="0" t="0" r="4445" b="8255"/>
            <wp:docPr id="31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图片 10"/>
                    <pic:cNvPicPr>
                      <a:picLocks noChangeAspect="1"/>
                    </pic:cNvPicPr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19919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line="360" w:lineRule="auto"/>
      </w:pPr>
      <w:r>
        <w:drawing>
          <wp:inline distT="0" distB="0" distL="114300" distR="114300">
            <wp:extent cx="5270500" cy="2637790"/>
            <wp:effectExtent l="0" t="0" r="6350" b="10160"/>
            <wp:docPr id="29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图片 8"/>
                    <pic:cNvPicPr>
                      <a:picLocks noChangeAspect="1"/>
                    </pic:cNvPicPr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6377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line="360" w:lineRule="auto"/>
        <w:ind w:firstLine="480" w:firstLineChars="200"/>
        <w:rPr>
          <w:rFonts w:ascii="宋体" w:hAnsi="宋体" w:eastAsia="宋体" w:cs="宋体"/>
          <w:sz w:val="24"/>
        </w:rPr>
      </w:pPr>
    </w:p>
    <w:p/>
    <w:p>
      <w:pPr>
        <w:pStyle w:val="2"/>
        <w:numPr>
          <w:ilvl w:val="0"/>
          <w:numId w:val="1"/>
        </w:numPr>
      </w:pPr>
      <w:bookmarkStart w:id="7" w:name="_Toc5625"/>
      <w:r>
        <w:rPr>
          <w:rFonts w:hint="eastAsia"/>
        </w:rPr>
        <w:t>苏服码获取指南（江苏政务服务APP）：</w:t>
      </w:r>
      <w:bookmarkEnd w:id="7"/>
    </w:p>
    <w:p>
      <w:pPr>
        <w:numPr>
          <w:ilvl w:val="0"/>
          <w:numId w:val="2"/>
        </w:numPr>
        <w:rPr>
          <w:rFonts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sz w:val="24"/>
        </w:rPr>
        <w:t>登录“江苏政务服务”APP，城市切换为苏州。</w:t>
      </w:r>
    </w:p>
    <w:p>
      <w:pPr>
        <w:rPr>
          <w:rFonts w:ascii="宋体" w:hAnsi="宋体" w:eastAsia="宋体" w:cs="宋体"/>
          <w:sz w:val="24"/>
        </w:rPr>
      </w:pPr>
    </w:p>
    <w:p>
      <w:pPr>
        <w:jc w:val="center"/>
        <w:rPr>
          <w:rFonts w:ascii="宋体" w:hAnsi="宋体" w:eastAsia="宋体" w:cs="宋体"/>
          <w:sz w:val="24"/>
        </w:rPr>
      </w:pPr>
      <w:r>
        <w:drawing>
          <wp:inline distT="0" distB="0" distL="114300" distR="114300">
            <wp:extent cx="2743200" cy="4800600"/>
            <wp:effectExtent l="0" t="0" r="0" b="0"/>
            <wp:docPr id="7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1"/>
                    <pic:cNvPicPr>
                      <a:picLocks noChangeAspect="1"/>
                    </pic:cNvPicPr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2743200" cy="4800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ascii="宋体" w:hAnsi="宋体" w:eastAsia="宋体" w:cs="宋体"/>
          <w:sz w:val="24"/>
        </w:rPr>
      </w:pPr>
    </w:p>
    <w:p>
      <w:pPr>
        <w:rPr>
          <w:rFonts w:ascii="宋体" w:hAnsi="宋体" w:eastAsia="宋体" w:cs="宋体"/>
          <w:sz w:val="24"/>
        </w:rPr>
      </w:pPr>
    </w:p>
    <w:p>
      <w:pPr>
        <w:numPr>
          <w:ilvl w:val="0"/>
          <w:numId w:val="2"/>
        </w:numPr>
        <w:rPr>
          <w:rFonts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sz w:val="24"/>
        </w:rPr>
        <w:t>搜索“苏服码”。</w:t>
      </w:r>
    </w:p>
    <w:p>
      <w:pPr>
        <w:jc w:val="center"/>
        <w:rPr>
          <w:rFonts w:ascii="宋体" w:hAnsi="宋体" w:eastAsia="宋体" w:cs="宋体"/>
          <w:sz w:val="24"/>
        </w:rPr>
      </w:pPr>
      <w:r>
        <w:drawing>
          <wp:inline distT="0" distB="0" distL="114300" distR="114300">
            <wp:extent cx="2790825" cy="4591050"/>
            <wp:effectExtent l="0" t="0" r="9525" b="0"/>
            <wp:docPr id="13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2"/>
                    <pic:cNvPicPr>
                      <a:picLocks noChangeAspect="1"/>
                    </pic:cNvPicPr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2790825" cy="459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2"/>
        </w:numPr>
        <w:rPr>
          <w:rFonts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sz w:val="24"/>
        </w:rPr>
        <w:t>进入应用，获取即可。</w:t>
      </w:r>
    </w:p>
    <w:p>
      <w:pPr>
        <w:rPr>
          <w:rFonts w:ascii="宋体" w:hAnsi="宋体" w:eastAsia="宋体" w:cs="宋体"/>
          <w:sz w:val="24"/>
        </w:rPr>
      </w:pPr>
    </w:p>
    <w:p>
      <w:pPr>
        <w:jc w:val="center"/>
      </w:pPr>
      <w:r>
        <w:drawing>
          <wp:inline distT="0" distB="0" distL="114300" distR="114300">
            <wp:extent cx="2752725" cy="4429125"/>
            <wp:effectExtent l="0" t="0" r="9525" b="9525"/>
            <wp:docPr id="17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3"/>
                    <pic:cNvPicPr>
                      <a:picLocks noChangeAspect="1"/>
                    </pic:cNvPicPr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2752725" cy="4429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jc w:val="center"/>
      </w:pPr>
      <w:r>
        <w:drawing>
          <wp:inline distT="0" distB="0" distL="114300" distR="114300">
            <wp:extent cx="2743200" cy="4048125"/>
            <wp:effectExtent l="0" t="0" r="0" b="9525"/>
            <wp:docPr id="20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图片 4"/>
                    <pic:cNvPicPr>
                      <a:picLocks noChangeAspect="1"/>
                    </pic:cNvPicPr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2743200" cy="4048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ascii="宋体" w:hAnsi="宋体" w:eastAsia="宋体" w:cs="宋体"/>
          <w:sz w:val="24"/>
        </w:rPr>
      </w:pPr>
    </w:p>
    <w:p>
      <w:pPr>
        <w:rPr>
          <w:rFonts w:ascii="宋体" w:hAnsi="宋体" w:eastAsia="宋体" w:cs="宋体"/>
          <w:sz w:val="24"/>
        </w:rPr>
      </w:pPr>
    </w:p>
    <w:p>
      <w:pPr>
        <w:rPr>
          <w:rFonts w:ascii="宋体" w:hAnsi="宋体" w:eastAsia="宋体" w:cs="宋体"/>
          <w:sz w:val="24"/>
        </w:rPr>
      </w:pPr>
    </w:p>
    <w:sectPr>
      <w:footerReference r:id="rId5" w:type="default"/>
      <w:pgSz w:w="11906" w:h="16838"/>
      <w:pgMar w:top="1440" w:right="1800" w:bottom="1440" w:left="1800" w:header="851" w:footer="992" w:gutter="0"/>
      <w:pgNumType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altName w:val="宋体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8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4" name="文本框 1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t>8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t>8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rPr>
        <w:rFonts w:ascii="宋体" w:hAnsi="宋体" w:eastAsia="宋体" w:cs="宋体"/>
        <w:sz w:val="44"/>
        <w:szCs w:val="44"/>
      </w:rPr>
    </w:pPr>
    <w:r>
      <w:rPr>
        <w:rFonts w:hint="eastAsia" w:ascii="宋体" w:hAnsi="宋体" w:eastAsia="宋体" w:cs="宋体"/>
        <w:szCs w:val="21"/>
      </w:rPr>
      <w:t xml:space="preserve">                      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rPr>
        <w:rFonts w:ascii="宋体" w:hAnsi="宋体" w:eastAsia="宋体" w:cs="宋体"/>
        <w:sz w:val="44"/>
        <w:szCs w:val="44"/>
      </w:rPr>
    </w:pPr>
    <w:r>
      <w:rPr>
        <w:rFonts w:hint="eastAsia" w:ascii="宋体" w:hAnsi="宋体" w:eastAsia="宋体" w:cs="宋体"/>
        <w:szCs w:val="21"/>
      </w:rPr>
      <w:t xml:space="preserve">                 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BCA73A9"/>
    <w:multiLevelType w:val="multilevel"/>
    <w:tmpl w:val="FBCA73A9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  <w:lvl w:ilvl="1" w:tentative="0">
      <w:start w:val="1"/>
      <w:numFmt w:val="decimal"/>
      <w:lvlText w:val="%1.%2."/>
      <w:lvlJc w:val="left"/>
      <w:pPr>
        <w:ind w:left="567" w:hanging="567"/>
      </w:pPr>
      <w:rPr>
        <w:rFonts w:hint="default"/>
      </w:rPr>
    </w:lvl>
    <w:lvl w:ilvl="2" w:tentative="0">
      <w:start w:val="1"/>
      <w:numFmt w:val="decimal"/>
      <w:lvlText w:val="%1.%2.%3."/>
      <w:lvlJc w:val="left"/>
      <w:pPr>
        <w:ind w:left="709" w:hanging="709"/>
      </w:pPr>
      <w:rPr>
        <w:rFonts w:hint="default"/>
      </w:rPr>
    </w:lvl>
    <w:lvl w:ilvl="3" w:tentative="0">
      <w:start w:val="1"/>
      <w:numFmt w:val="decimal"/>
      <w:lvlText w:val="%1.%2.%3.%4."/>
      <w:lvlJc w:val="left"/>
      <w:pPr>
        <w:ind w:left="850" w:hanging="850"/>
      </w:pPr>
      <w:rPr>
        <w:rFonts w:hint="default"/>
      </w:rPr>
    </w:lvl>
    <w:lvl w:ilvl="4" w:tentative="0">
      <w:start w:val="1"/>
      <w:numFmt w:val="decimal"/>
      <w:lvlText w:val="%1.%2.%3.%4.%5."/>
      <w:lvlJc w:val="left"/>
      <w:pPr>
        <w:ind w:left="991" w:hanging="991"/>
      </w:pPr>
      <w:rPr>
        <w:rFonts w:hint="default"/>
      </w:rPr>
    </w:lvl>
    <w:lvl w:ilvl="5" w:tentative="0">
      <w:start w:val="1"/>
      <w:numFmt w:val="decimal"/>
      <w:lvlText w:val="%1.%2.%3.%4.%5.%6."/>
      <w:lvlJc w:val="left"/>
      <w:pPr>
        <w:ind w:left="1134" w:hanging="1134"/>
      </w:pPr>
      <w:rPr>
        <w:rFonts w:hint="default"/>
      </w:rPr>
    </w:lvl>
    <w:lvl w:ilvl="6" w:tentative="0">
      <w:start w:val="1"/>
      <w:numFmt w:val="decimal"/>
      <w:lvlText w:val="%1.%2.%3.%4.%5.%6.%7."/>
      <w:lvlJc w:val="left"/>
      <w:pPr>
        <w:ind w:left="1275" w:hanging="1275"/>
      </w:pPr>
      <w:rPr>
        <w:rFonts w:hint="default"/>
      </w:rPr>
    </w:lvl>
    <w:lvl w:ilvl="7" w:tentative="0">
      <w:start w:val="1"/>
      <w:numFmt w:val="decimal"/>
      <w:lvlText w:val="%1.%2.%3.%4.%5.%6.%7.%8."/>
      <w:lvlJc w:val="left"/>
      <w:pPr>
        <w:ind w:left="1418" w:hanging="1418"/>
      </w:pPr>
      <w:rPr>
        <w:rFonts w:hint="default"/>
      </w:rPr>
    </w:lvl>
    <w:lvl w:ilvl="8" w:tentative="0">
      <w:start w:val="1"/>
      <w:numFmt w:val="decimal"/>
      <w:lvlText w:val="%1.%2.%3.%4.%5.%6.%7.%8.%9."/>
      <w:lvlJc w:val="left"/>
      <w:pPr>
        <w:ind w:left="1558" w:hanging="1558"/>
      </w:pPr>
      <w:rPr>
        <w:rFonts w:hint="default"/>
      </w:rPr>
    </w:lvl>
  </w:abstractNum>
  <w:abstractNum w:abstractNumId="1">
    <w:nsid w:val="0307CA3C"/>
    <w:multiLevelType w:val="singleLevel"/>
    <w:tmpl w:val="0307CA3C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4A5D"/>
    <w:rsid w:val="000738E1"/>
    <w:rsid w:val="001A6A4D"/>
    <w:rsid w:val="002727AA"/>
    <w:rsid w:val="00977374"/>
    <w:rsid w:val="00AC32E3"/>
    <w:rsid w:val="00D14A5D"/>
    <w:rsid w:val="00E33D72"/>
    <w:rsid w:val="00E8200B"/>
    <w:rsid w:val="01B24430"/>
    <w:rsid w:val="02B838AF"/>
    <w:rsid w:val="042B2D55"/>
    <w:rsid w:val="04932611"/>
    <w:rsid w:val="069663F2"/>
    <w:rsid w:val="0898735A"/>
    <w:rsid w:val="091933EC"/>
    <w:rsid w:val="1713113D"/>
    <w:rsid w:val="18897702"/>
    <w:rsid w:val="18AD1129"/>
    <w:rsid w:val="19757750"/>
    <w:rsid w:val="1A5239FE"/>
    <w:rsid w:val="1ACC3FAE"/>
    <w:rsid w:val="1CAB0F71"/>
    <w:rsid w:val="1D99424C"/>
    <w:rsid w:val="1E2A386A"/>
    <w:rsid w:val="1E390333"/>
    <w:rsid w:val="1EF37EBC"/>
    <w:rsid w:val="1FC36D40"/>
    <w:rsid w:val="1FF66575"/>
    <w:rsid w:val="212A6337"/>
    <w:rsid w:val="21DA624B"/>
    <w:rsid w:val="23C3316B"/>
    <w:rsid w:val="2443268F"/>
    <w:rsid w:val="266F2BC9"/>
    <w:rsid w:val="273664D6"/>
    <w:rsid w:val="28954721"/>
    <w:rsid w:val="29DB46C8"/>
    <w:rsid w:val="2AC16EB9"/>
    <w:rsid w:val="2B753779"/>
    <w:rsid w:val="2C316FD9"/>
    <w:rsid w:val="2D895368"/>
    <w:rsid w:val="2E9C1E4F"/>
    <w:rsid w:val="2F746598"/>
    <w:rsid w:val="31EF23D8"/>
    <w:rsid w:val="33671BE0"/>
    <w:rsid w:val="33A75D17"/>
    <w:rsid w:val="35BE5CB3"/>
    <w:rsid w:val="37315D44"/>
    <w:rsid w:val="377D7BF7"/>
    <w:rsid w:val="39134A18"/>
    <w:rsid w:val="3BC56354"/>
    <w:rsid w:val="3CE833EC"/>
    <w:rsid w:val="3CF257AF"/>
    <w:rsid w:val="403B0EDE"/>
    <w:rsid w:val="42414678"/>
    <w:rsid w:val="450A02EA"/>
    <w:rsid w:val="4A915029"/>
    <w:rsid w:val="4C2D4DF9"/>
    <w:rsid w:val="4CE56602"/>
    <w:rsid w:val="51483E2A"/>
    <w:rsid w:val="51700472"/>
    <w:rsid w:val="58385DD4"/>
    <w:rsid w:val="59315947"/>
    <w:rsid w:val="59B1597D"/>
    <w:rsid w:val="5BE72B36"/>
    <w:rsid w:val="5E4245BE"/>
    <w:rsid w:val="5ECE4600"/>
    <w:rsid w:val="61141B96"/>
    <w:rsid w:val="61601F78"/>
    <w:rsid w:val="625432A4"/>
    <w:rsid w:val="630773E0"/>
    <w:rsid w:val="635C5019"/>
    <w:rsid w:val="63EA3186"/>
    <w:rsid w:val="64A20CA5"/>
    <w:rsid w:val="68AC1995"/>
    <w:rsid w:val="6C4F3F05"/>
    <w:rsid w:val="6CAB265F"/>
    <w:rsid w:val="6DBC6F8E"/>
    <w:rsid w:val="702472BD"/>
    <w:rsid w:val="758D17DA"/>
    <w:rsid w:val="759F06B5"/>
    <w:rsid w:val="76D51C73"/>
    <w:rsid w:val="76E96C8B"/>
    <w:rsid w:val="7A4A333A"/>
    <w:rsid w:val="7A4B13FD"/>
    <w:rsid w:val="7A8E3C5D"/>
    <w:rsid w:val="7B2E7854"/>
    <w:rsid w:val="7B5050A3"/>
    <w:rsid w:val="7E5277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qFormat="1"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10"/>
    <w:qFormat/>
    <w:uiPriority w:val="0"/>
    <w:pPr>
      <w:keepNext/>
      <w:keepLines/>
      <w:spacing w:before="340" w:after="330" w:line="576" w:lineRule="auto"/>
      <w:outlineLvl w:val="0"/>
    </w:pPr>
    <w:rPr>
      <w:b/>
      <w:kern w:val="44"/>
      <w:sz w:val="44"/>
    </w:rPr>
  </w:style>
  <w:style w:type="paragraph" w:styleId="3">
    <w:name w:val="heading 2"/>
    <w:basedOn w:val="1"/>
    <w:next w:val="1"/>
    <w:link w:val="11"/>
    <w:unhideWhenUsed/>
    <w:qFormat/>
    <w:uiPriority w:val="0"/>
    <w:pPr>
      <w:keepNext/>
      <w:keepLines/>
      <w:spacing w:before="260" w:after="260" w:line="413" w:lineRule="auto"/>
      <w:outlineLvl w:val="1"/>
    </w:pPr>
    <w:rPr>
      <w:rFonts w:ascii="Arial" w:hAnsi="Arial" w:eastAsia="黑体"/>
      <w:b/>
      <w:sz w:val="32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6">
    <w:name w:val="toc 1"/>
    <w:basedOn w:val="1"/>
    <w:next w:val="1"/>
    <w:qFormat/>
    <w:uiPriority w:val="0"/>
  </w:style>
  <w:style w:type="paragraph" w:styleId="7">
    <w:name w:val="toc 2"/>
    <w:basedOn w:val="1"/>
    <w:next w:val="1"/>
    <w:qFormat/>
    <w:uiPriority w:val="0"/>
    <w:pPr>
      <w:ind w:left="420" w:leftChars="200"/>
    </w:pPr>
  </w:style>
  <w:style w:type="character" w:customStyle="1" w:styleId="10">
    <w:name w:val="标题 1 字符"/>
    <w:link w:val="2"/>
    <w:qFormat/>
    <w:uiPriority w:val="0"/>
    <w:rPr>
      <w:b/>
      <w:kern w:val="44"/>
      <w:sz w:val="44"/>
    </w:rPr>
  </w:style>
  <w:style w:type="character" w:customStyle="1" w:styleId="11">
    <w:name w:val="标题 2 字符"/>
    <w:link w:val="3"/>
    <w:qFormat/>
    <w:uiPriority w:val="0"/>
    <w:rPr>
      <w:rFonts w:ascii="Arial" w:hAnsi="Arial" w:eastAsia="黑体"/>
      <w:b/>
      <w:sz w:val="32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3.png"/><Relationship Id="rId8" Type="http://schemas.openxmlformats.org/officeDocument/2006/relationships/image" Target="media/image2.png"/><Relationship Id="rId7" Type="http://schemas.openxmlformats.org/officeDocument/2006/relationships/image" Target="media/image1.png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3" Type="http://schemas.openxmlformats.org/officeDocument/2006/relationships/fontTable" Target="fontTable.xml"/><Relationship Id="rId32" Type="http://schemas.openxmlformats.org/officeDocument/2006/relationships/numbering" Target="numbering.xml"/><Relationship Id="rId31" Type="http://schemas.openxmlformats.org/officeDocument/2006/relationships/customXml" Target="../customXml/item1.xml"/><Relationship Id="rId30" Type="http://schemas.openxmlformats.org/officeDocument/2006/relationships/image" Target="media/image24.png"/><Relationship Id="rId3" Type="http://schemas.openxmlformats.org/officeDocument/2006/relationships/header" Target="header1.xml"/><Relationship Id="rId29" Type="http://schemas.openxmlformats.org/officeDocument/2006/relationships/image" Target="media/image23.png"/><Relationship Id="rId28" Type="http://schemas.openxmlformats.org/officeDocument/2006/relationships/image" Target="media/image22.png"/><Relationship Id="rId27" Type="http://schemas.openxmlformats.org/officeDocument/2006/relationships/image" Target="media/image21.png"/><Relationship Id="rId26" Type="http://schemas.openxmlformats.org/officeDocument/2006/relationships/image" Target="media/image20.png"/><Relationship Id="rId25" Type="http://schemas.openxmlformats.org/officeDocument/2006/relationships/image" Target="media/image19.png"/><Relationship Id="rId24" Type="http://schemas.openxmlformats.org/officeDocument/2006/relationships/image" Target="media/image18.png"/><Relationship Id="rId23" Type="http://schemas.openxmlformats.org/officeDocument/2006/relationships/image" Target="media/image17.png"/><Relationship Id="rId22" Type="http://schemas.openxmlformats.org/officeDocument/2006/relationships/image" Target="media/image16.png"/><Relationship Id="rId21" Type="http://schemas.openxmlformats.org/officeDocument/2006/relationships/image" Target="media/image15.png"/><Relationship Id="rId20" Type="http://schemas.openxmlformats.org/officeDocument/2006/relationships/image" Target="media/image14.png"/><Relationship Id="rId2" Type="http://schemas.openxmlformats.org/officeDocument/2006/relationships/settings" Target="settings.xml"/><Relationship Id="rId19" Type="http://schemas.openxmlformats.org/officeDocument/2006/relationships/image" Target="media/image13.png"/><Relationship Id="rId18" Type="http://schemas.openxmlformats.org/officeDocument/2006/relationships/image" Target="media/image12.png"/><Relationship Id="rId17" Type="http://schemas.openxmlformats.org/officeDocument/2006/relationships/image" Target="media/image11.png"/><Relationship Id="rId16" Type="http://schemas.openxmlformats.org/officeDocument/2006/relationships/image" Target="media/image10.png"/><Relationship Id="rId15" Type="http://schemas.openxmlformats.org/officeDocument/2006/relationships/image" Target="media/image9.png"/><Relationship Id="rId14" Type="http://schemas.openxmlformats.org/officeDocument/2006/relationships/image" Target="media/image8.png"/><Relationship Id="rId13" Type="http://schemas.openxmlformats.org/officeDocument/2006/relationships/image" Target="media/image7.png"/><Relationship Id="rId12" Type="http://schemas.openxmlformats.org/officeDocument/2006/relationships/image" Target="media/image6.png"/><Relationship Id="rId11" Type="http://schemas.openxmlformats.org/officeDocument/2006/relationships/image" Target="media/image5.png"/><Relationship Id="rId10" Type="http://schemas.openxmlformats.org/officeDocument/2006/relationships/image" Target="media/image4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13</Pages>
  <Words>179</Words>
  <Characters>1022</Characters>
  <Lines>8</Lines>
  <Paragraphs>2</Paragraphs>
  <TotalTime>3</TotalTime>
  <ScaleCrop>false</ScaleCrop>
  <LinksUpToDate>false</LinksUpToDate>
  <CharactersWithSpaces>1199</CharactersWithSpaces>
  <Application>WPS Office_11.1.0.10132_F1E327BC-269C-435d-A152-05C5408002CA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2020-09-11T05:16:00Z</dcterms:created>
  <dc:creator>Administrator</dc:creator>
  <cp:lastModifiedBy>。</cp:lastModifiedBy>
  <dcterms:modified xsi:type="dcterms:W3CDTF">2020-11-26T08:39:02Z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2052-11.1.0.10132</vt:lpwstr>
  </property>
</Properties>
</file>